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15465" w14:textId="5F7A1A0D" w:rsidR="00707A2B" w:rsidRPr="00707A2B" w:rsidRDefault="00D75E64" w:rsidP="00644AAE">
      <w:pPr>
        <w:pStyle w:val="Heading1"/>
        <w:spacing w:before="240" w:after="240"/>
        <w:rPr>
          <w:rFonts w:ascii="Calibri" w:eastAsia="Times New Roman" w:hAnsi="Calibri" w:cs="Calibri"/>
          <w:color w:val="auto"/>
          <w:sz w:val="22"/>
          <w:szCs w:val="22"/>
        </w:rPr>
      </w:pPr>
      <w:r>
        <w:rPr>
          <w:noProof/>
        </w:rPr>
        <w:drawing>
          <wp:anchor distT="0" distB="0" distL="114300" distR="114300" simplePos="0" relativeHeight="251658240" behindDoc="1" locked="0" layoutInCell="1" allowOverlap="1" wp14:anchorId="5615590B" wp14:editId="0C05CF98">
            <wp:simplePos x="0" y="0"/>
            <wp:positionH relativeFrom="column">
              <wp:posOffset>4207704</wp:posOffset>
            </wp:positionH>
            <wp:positionV relativeFrom="paragraph">
              <wp:posOffset>400685</wp:posOffset>
            </wp:positionV>
            <wp:extent cx="749935" cy="755650"/>
            <wp:effectExtent l="0" t="0" r="0" b="6350"/>
            <wp:wrapThrough wrapText="bothSides">
              <wp:wrapPolygon edited="0">
                <wp:start x="0" y="0"/>
                <wp:lineTo x="0" y="21237"/>
                <wp:lineTo x="20850" y="21237"/>
                <wp:lineTo x="2085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extLst>
                        <a:ext uri="{28A0092B-C50C-407E-A947-70E740481C1C}">
                          <a14:useLocalDpi xmlns:a14="http://schemas.microsoft.com/office/drawing/2010/main" val="0"/>
                        </a:ext>
                      </a:extLst>
                    </a:blip>
                    <a:stretch>
                      <a:fillRect/>
                    </a:stretch>
                  </pic:blipFill>
                  <pic:spPr>
                    <a:xfrm>
                      <a:off x="0" y="0"/>
                      <a:ext cx="749935" cy="755650"/>
                    </a:xfrm>
                    <a:prstGeom prst="rect">
                      <a:avLst/>
                    </a:prstGeom>
                  </pic:spPr>
                </pic:pic>
              </a:graphicData>
            </a:graphic>
            <wp14:sizeRelH relativeFrom="margin">
              <wp14:pctWidth>0</wp14:pctWidth>
            </wp14:sizeRelH>
            <wp14:sizeRelV relativeFrom="margin">
              <wp14:pctHeight>0</wp14:pctHeight>
            </wp14:sizeRelV>
          </wp:anchor>
        </w:drawing>
      </w:r>
      <w:r w:rsidR="00707A2B" w:rsidRPr="00707A2B">
        <w:rPr>
          <w:rFonts w:ascii="Calibri" w:eastAsia="Times New Roman" w:hAnsi="Calibri" w:cs="Calibri"/>
          <w:color w:val="auto"/>
          <w:sz w:val="22"/>
          <w:szCs w:val="22"/>
        </w:rPr>
        <w:t xml:space="preserve">Center of Excellence FY </w:t>
      </w:r>
      <w:r w:rsidR="00CC029B">
        <w:rPr>
          <w:rFonts w:ascii="Calibri" w:eastAsia="Times New Roman" w:hAnsi="Calibri" w:cs="Calibri"/>
          <w:color w:val="auto"/>
          <w:sz w:val="22"/>
          <w:szCs w:val="22"/>
        </w:rPr>
        <w:t>23-</w:t>
      </w:r>
      <w:r w:rsidR="00707A2B" w:rsidRPr="00707A2B">
        <w:rPr>
          <w:rFonts w:ascii="Calibri" w:eastAsia="Times New Roman" w:hAnsi="Calibri" w:cs="Calibri"/>
          <w:color w:val="auto"/>
          <w:sz w:val="22"/>
          <w:szCs w:val="22"/>
        </w:rPr>
        <w:t xml:space="preserve">24 Work Plan </w:t>
      </w:r>
      <w:r w:rsidR="00A52048">
        <w:rPr>
          <w:rFonts w:ascii="Calibri" w:eastAsia="Times New Roman" w:hAnsi="Calibri" w:cs="Calibri"/>
          <w:color w:val="auto"/>
          <w:sz w:val="22"/>
          <w:szCs w:val="22"/>
        </w:rPr>
        <w:t>(Quarter 1)</w:t>
      </w:r>
      <w:r w:rsidR="00B31A9B" w:rsidRPr="00707A2B">
        <w:rPr>
          <w:rFonts w:ascii="Calibri" w:eastAsia="Times New Roman" w:hAnsi="Calibri" w:cs="Calibri"/>
          <w:color w:val="auto"/>
          <w:sz w:val="22"/>
          <w:szCs w:val="22"/>
        </w:rPr>
        <w:t>                                                                                                                                  </w:t>
      </w:r>
      <w:r w:rsidR="007853FD" w:rsidRPr="00707A2B">
        <w:rPr>
          <w:rFonts w:ascii="Calibri" w:eastAsia="Times New Roman" w:hAnsi="Calibri" w:cs="Calibri"/>
          <w:color w:val="auto"/>
          <w:sz w:val="22"/>
          <w:szCs w:val="22"/>
        </w:rPr>
        <w:t>                       </w:t>
      </w:r>
      <w:r w:rsidR="00B31A9B" w:rsidRPr="00707A2B">
        <w:rPr>
          <w:rFonts w:ascii="Calibri" w:eastAsia="Times New Roman" w:hAnsi="Calibri" w:cs="Calibri"/>
          <w:color w:val="auto"/>
          <w:sz w:val="22"/>
          <w:szCs w:val="22"/>
        </w:rPr>
        <w:t>  </w:t>
      </w:r>
      <w:r w:rsidR="00461C26" w:rsidRPr="00707A2B">
        <w:rPr>
          <w:rFonts w:ascii="Calibri" w:eastAsia="Times New Roman" w:hAnsi="Calibri" w:cs="Calibri"/>
          <w:color w:val="auto"/>
          <w:sz w:val="22"/>
          <w:szCs w:val="22"/>
        </w:rPr>
        <w:t xml:space="preserve"> </w:t>
      </w:r>
    </w:p>
    <w:p w14:paraId="224F8B2C" w14:textId="774B9AE1" w:rsidR="00FA7DE7" w:rsidRPr="00B31A9B" w:rsidRDefault="00B31A9B" w:rsidP="00FA7DE7">
      <w:pPr>
        <w:pStyle w:val="Heading1"/>
        <w:spacing w:before="240" w:after="240"/>
        <w:rPr>
          <w:sz w:val="20"/>
          <w:szCs w:val="20"/>
        </w:rPr>
      </w:pPr>
      <w:r w:rsidRPr="00B31A9B">
        <w:rPr>
          <w:sz w:val="20"/>
          <w:szCs w:val="20"/>
        </w:rPr>
        <w:t>Cen</w:t>
      </w:r>
      <w:r w:rsidR="00707A2B">
        <w:rPr>
          <w:sz w:val="20"/>
          <w:szCs w:val="20"/>
        </w:rPr>
        <w:t xml:space="preserve">ter Name: Center of Excellence </w:t>
      </w:r>
      <w:r w:rsidR="004E7C06">
        <w:rPr>
          <w:sz w:val="20"/>
          <w:szCs w:val="20"/>
        </w:rPr>
        <w:t>–</w:t>
      </w:r>
      <w:r w:rsidR="00A52048">
        <w:rPr>
          <w:sz w:val="20"/>
          <w:szCs w:val="20"/>
        </w:rPr>
        <w:t xml:space="preserve"> </w:t>
      </w:r>
      <w:r w:rsidR="00A52048">
        <w:rPr>
          <w:color w:val="auto"/>
          <w:sz w:val="20"/>
          <w:szCs w:val="20"/>
          <w:u w:val="single"/>
        </w:rPr>
        <w:t>Building R</w:t>
      </w:r>
      <w:r w:rsidR="00D75E64" w:rsidRPr="007D439D">
        <w:rPr>
          <w:color w:val="auto"/>
          <w:sz w:val="20"/>
          <w:szCs w:val="20"/>
          <w:u w:val="single"/>
        </w:rPr>
        <w:t>esilience: Safe-Secure-Ready</w:t>
      </w:r>
      <w:r w:rsidRPr="007D439D">
        <w:rPr>
          <w:color w:val="auto"/>
          <w:sz w:val="20"/>
          <w:szCs w:val="20"/>
        </w:rPr>
        <w:t xml:space="preserve"> </w:t>
      </w:r>
    </w:p>
    <w:tbl>
      <w:tblPr>
        <w:tblW w:w="14670" w:type="dxa"/>
        <w:tblCellMar>
          <w:left w:w="0" w:type="dxa"/>
          <w:right w:w="0" w:type="dxa"/>
        </w:tblCellMar>
        <w:tblLook w:val="04A0" w:firstRow="1" w:lastRow="0" w:firstColumn="1" w:lastColumn="0" w:noHBand="0" w:noVBand="1"/>
      </w:tblPr>
      <w:tblGrid>
        <w:gridCol w:w="2448"/>
        <w:gridCol w:w="6245"/>
        <w:gridCol w:w="5977"/>
      </w:tblGrid>
      <w:tr w:rsidR="00B31A9B" w:rsidRPr="00B31A9B" w14:paraId="622A6C20" w14:textId="77777777" w:rsidTr="00B31A9B">
        <w:trPr>
          <w:trHeight w:val="55"/>
        </w:trPr>
        <w:tc>
          <w:tcPr>
            <w:tcW w:w="2448" w:type="dxa"/>
            <w:tcBorders>
              <w:top w:val="single" w:sz="18" w:space="0" w:color="auto"/>
              <w:left w:val="single" w:sz="18" w:space="0" w:color="auto"/>
              <w:bottom w:val="single" w:sz="8" w:space="0" w:color="auto"/>
              <w:right w:val="single" w:sz="8" w:space="0" w:color="auto"/>
            </w:tcBorders>
            <w:shd w:val="clear" w:color="auto" w:fill="D9D9D9"/>
            <w:tcMar>
              <w:top w:w="115" w:type="dxa"/>
              <w:left w:w="115" w:type="dxa"/>
              <w:bottom w:w="115" w:type="dxa"/>
              <w:right w:w="115" w:type="dxa"/>
            </w:tcMar>
            <w:vAlign w:val="center"/>
            <w:hideMark/>
          </w:tcPr>
          <w:p w14:paraId="609AE0B6" w14:textId="77777777" w:rsidR="00B31A9B" w:rsidRPr="00B31A9B" w:rsidRDefault="00B31A9B">
            <w:pPr>
              <w:jc w:val="center"/>
              <w:rPr>
                <w:b/>
                <w:bCs/>
                <w:sz w:val="20"/>
                <w:szCs w:val="20"/>
              </w:rPr>
            </w:pPr>
            <w:r w:rsidRPr="00B31A9B">
              <w:rPr>
                <w:rFonts w:eastAsia="Times New Roman"/>
                <w:b/>
                <w:bCs/>
                <w:sz w:val="20"/>
                <w:szCs w:val="20"/>
              </w:rPr>
              <w:br w:type="page"/>
            </w:r>
            <w:r w:rsidRPr="00B31A9B">
              <w:rPr>
                <w:b/>
                <w:bCs/>
                <w:color w:val="000000"/>
                <w:sz w:val="20"/>
                <w:szCs w:val="20"/>
              </w:rPr>
              <w:t>Core Expectations</w:t>
            </w:r>
            <w:r w:rsidRPr="00B31A9B">
              <w:rPr>
                <w:color w:val="000000"/>
                <w:sz w:val="20"/>
                <w:szCs w:val="20"/>
              </w:rPr>
              <w:br w:type="page"/>
            </w:r>
          </w:p>
        </w:tc>
        <w:tc>
          <w:tcPr>
            <w:tcW w:w="12222" w:type="dxa"/>
            <w:gridSpan w:val="2"/>
            <w:tcBorders>
              <w:top w:val="single" w:sz="18" w:space="0" w:color="auto"/>
              <w:left w:val="nil"/>
              <w:bottom w:val="single" w:sz="8" w:space="0" w:color="auto"/>
              <w:right w:val="single" w:sz="18" w:space="0" w:color="auto"/>
            </w:tcBorders>
            <w:shd w:val="clear" w:color="auto" w:fill="D9D9D9"/>
            <w:tcMar>
              <w:top w:w="115" w:type="dxa"/>
              <w:left w:w="115" w:type="dxa"/>
              <w:bottom w:w="115" w:type="dxa"/>
              <w:right w:w="115" w:type="dxa"/>
            </w:tcMar>
            <w:vAlign w:val="center"/>
            <w:hideMark/>
          </w:tcPr>
          <w:p w14:paraId="30AB9C21" w14:textId="77777777" w:rsidR="00B31A9B" w:rsidRDefault="00B31A9B">
            <w:pPr>
              <w:jc w:val="center"/>
              <w:rPr>
                <w:b/>
                <w:bCs/>
                <w:color w:val="000000"/>
                <w:sz w:val="20"/>
                <w:szCs w:val="20"/>
              </w:rPr>
            </w:pPr>
            <w:r w:rsidRPr="00B31A9B">
              <w:rPr>
                <w:b/>
                <w:bCs/>
                <w:color w:val="000000"/>
                <w:sz w:val="20"/>
                <w:szCs w:val="20"/>
              </w:rPr>
              <w:t>Activity #1</w:t>
            </w:r>
          </w:p>
          <w:p w14:paraId="42917B0D" w14:textId="77777777" w:rsidR="00461C26" w:rsidRPr="00B31A9B" w:rsidRDefault="00AD7811" w:rsidP="00AD7811">
            <w:pPr>
              <w:jc w:val="center"/>
              <w:rPr>
                <w:b/>
                <w:bCs/>
                <w:sz w:val="20"/>
                <w:szCs w:val="20"/>
              </w:rPr>
            </w:pPr>
            <w:r>
              <w:rPr>
                <w:b/>
                <w:bCs/>
                <w:color w:val="000000"/>
                <w:sz w:val="20"/>
                <w:szCs w:val="20"/>
              </w:rPr>
              <w:t>Strengthening and Support</w:t>
            </w:r>
            <w:r w:rsidR="00AC26B2">
              <w:rPr>
                <w:b/>
                <w:bCs/>
                <w:color w:val="000000"/>
                <w:sz w:val="20"/>
                <w:szCs w:val="20"/>
              </w:rPr>
              <w:t>ing</w:t>
            </w:r>
            <w:r>
              <w:rPr>
                <w:b/>
                <w:bCs/>
                <w:color w:val="000000"/>
                <w:sz w:val="20"/>
                <w:szCs w:val="20"/>
              </w:rPr>
              <w:t xml:space="preserve"> Community Connect</w:t>
            </w:r>
            <w:r w:rsidR="00326E32">
              <w:rPr>
                <w:b/>
                <w:bCs/>
                <w:color w:val="000000"/>
                <w:sz w:val="20"/>
                <w:szCs w:val="20"/>
              </w:rPr>
              <w:t xml:space="preserve">ions, Diversity, </w:t>
            </w:r>
            <w:proofErr w:type="gramStart"/>
            <w:r w:rsidR="00326E32">
              <w:rPr>
                <w:b/>
                <w:bCs/>
                <w:color w:val="000000"/>
                <w:sz w:val="20"/>
                <w:szCs w:val="20"/>
              </w:rPr>
              <w:t xml:space="preserve">and </w:t>
            </w:r>
            <w:r>
              <w:rPr>
                <w:b/>
                <w:bCs/>
                <w:color w:val="000000"/>
                <w:sz w:val="20"/>
                <w:szCs w:val="20"/>
              </w:rPr>
              <w:t xml:space="preserve"> Resilience</w:t>
            </w:r>
            <w:proofErr w:type="gramEnd"/>
            <w:r>
              <w:rPr>
                <w:b/>
                <w:bCs/>
                <w:color w:val="000000"/>
                <w:sz w:val="20"/>
                <w:szCs w:val="20"/>
              </w:rPr>
              <w:t xml:space="preserve"> </w:t>
            </w:r>
            <w:r w:rsidR="00461C26">
              <w:rPr>
                <w:b/>
                <w:bCs/>
                <w:color w:val="000000"/>
                <w:sz w:val="20"/>
                <w:szCs w:val="20"/>
              </w:rPr>
              <w:t xml:space="preserve"> </w:t>
            </w:r>
          </w:p>
        </w:tc>
      </w:tr>
      <w:tr w:rsidR="00B31A9B" w:rsidRPr="00B31A9B" w14:paraId="2D2CD9B3" w14:textId="77777777" w:rsidTr="00B31A9B">
        <w:trPr>
          <w:trHeight w:val="775"/>
        </w:trPr>
        <w:tc>
          <w:tcPr>
            <w:tcW w:w="2448" w:type="dxa"/>
            <w:tcBorders>
              <w:top w:val="nil"/>
              <w:left w:val="single" w:sz="18" w:space="0" w:color="auto"/>
              <w:bottom w:val="single" w:sz="8" w:space="0" w:color="auto"/>
              <w:right w:val="single" w:sz="8" w:space="0" w:color="auto"/>
            </w:tcBorders>
            <w:tcMar>
              <w:top w:w="115" w:type="dxa"/>
              <w:left w:w="115" w:type="dxa"/>
              <w:bottom w:w="115" w:type="dxa"/>
              <w:right w:w="115" w:type="dxa"/>
            </w:tcMar>
            <w:vAlign w:val="center"/>
            <w:hideMark/>
          </w:tcPr>
          <w:p w14:paraId="1082EFA1" w14:textId="77777777" w:rsidR="00B31A9B" w:rsidRPr="00B31A9B" w:rsidRDefault="001A2AC6">
            <w:pPr>
              <w:spacing w:line="480" w:lineRule="auto"/>
              <w:rPr>
                <w:sz w:val="20"/>
                <w:szCs w:val="20"/>
              </w:rPr>
            </w:pPr>
            <w:sdt>
              <w:sdtPr>
                <w:rPr>
                  <w:sz w:val="20"/>
                  <w:szCs w:val="20"/>
                </w:rPr>
                <w:id w:val="-144206752"/>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Economic Development</w:t>
            </w:r>
          </w:p>
          <w:p w14:paraId="0A2FAB77" w14:textId="77777777" w:rsidR="00B31A9B" w:rsidRPr="00B31A9B" w:rsidRDefault="001A2AC6">
            <w:pPr>
              <w:spacing w:line="480" w:lineRule="auto"/>
              <w:rPr>
                <w:sz w:val="20"/>
                <w:szCs w:val="20"/>
              </w:rPr>
            </w:pPr>
            <w:sdt>
              <w:sdtPr>
                <w:rPr>
                  <w:sz w:val="20"/>
                  <w:szCs w:val="20"/>
                </w:rPr>
                <w:id w:val="-1973290960"/>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Sector Strategy</w:t>
            </w:r>
          </w:p>
          <w:p w14:paraId="61D19BA4" w14:textId="77777777" w:rsidR="00B31A9B" w:rsidRPr="00B31A9B" w:rsidRDefault="001A2AC6">
            <w:pPr>
              <w:spacing w:line="480" w:lineRule="auto"/>
              <w:rPr>
                <w:sz w:val="20"/>
                <w:szCs w:val="20"/>
              </w:rPr>
            </w:pPr>
            <w:sdt>
              <w:sdtPr>
                <w:rPr>
                  <w:sz w:val="20"/>
                  <w:szCs w:val="20"/>
                </w:rPr>
                <w:id w:val="-897663677"/>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Ed/Innovation/Efficiency</w:t>
            </w:r>
          </w:p>
          <w:p w14:paraId="414CD13F" w14:textId="77777777" w:rsidR="00B31A9B" w:rsidRPr="00B31A9B" w:rsidRDefault="001A2AC6">
            <w:pPr>
              <w:spacing w:line="480" w:lineRule="auto"/>
              <w:rPr>
                <w:sz w:val="20"/>
                <w:szCs w:val="20"/>
              </w:rPr>
            </w:pPr>
            <w:sdt>
              <w:sdtPr>
                <w:rPr>
                  <w:sz w:val="20"/>
                  <w:szCs w:val="20"/>
                </w:rPr>
                <w:id w:val="455836643"/>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Supply/Demand</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tcPr>
          <w:p w14:paraId="3B044297" w14:textId="77777777" w:rsidR="00B31A9B" w:rsidRPr="00B31A9B" w:rsidRDefault="00461C26">
            <w:pPr>
              <w:spacing w:line="312" w:lineRule="auto"/>
              <w:rPr>
                <w:b/>
                <w:bCs/>
                <w:sz w:val="20"/>
                <w:szCs w:val="20"/>
                <w:lang w:val="en"/>
              </w:rPr>
            </w:pPr>
            <w:r>
              <w:rPr>
                <w:b/>
                <w:bCs/>
                <w:sz w:val="20"/>
                <w:szCs w:val="20"/>
                <w:lang w:val="en"/>
              </w:rPr>
              <w:t xml:space="preserve">Activity #1.  </w:t>
            </w:r>
            <w:r w:rsidR="00B31A9B" w:rsidRPr="00B31A9B">
              <w:rPr>
                <w:b/>
                <w:bCs/>
                <w:sz w:val="20"/>
                <w:szCs w:val="20"/>
                <w:lang w:val="en"/>
              </w:rPr>
              <w:t xml:space="preserve">Provide Leadership and Guidance </w:t>
            </w:r>
            <w:r>
              <w:rPr>
                <w:b/>
                <w:bCs/>
                <w:sz w:val="20"/>
                <w:szCs w:val="20"/>
                <w:lang w:val="en"/>
              </w:rPr>
              <w:t>for</w:t>
            </w:r>
            <w:r w:rsidR="004B34E3">
              <w:rPr>
                <w:b/>
                <w:bCs/>
                <w:sz w:val="20"/>
                <w:szCs w:val="20"/>
                <w:lang w:val="en"/>
              </w:rPr>
              <w:t xml:space="preserve"> Building Resilience and</w:t>
            </w:r>
            <w:r>
              <w:rPr>
                <w:b/>
                <w:bCs/>
                <w:sz w:val="20"/>
                <w:szCs w:val="20"/>
                <w:lang w:val="en"/>
              </w:rPr>
              <w:t xml:space="preserve"> Diversity,</w:t>
            </w:r>
            <w:r w:rsidR="00B31A9B" w:rsidRPr="00B31A9B">
              <w:rPr>
                <w:b/>
                <w:bCs/>
                <w:sz w:val="20"/>
                <w:szCs w:val="20"/>
                <w:lang w:val="en"/>
              </w:rPr>
              <w:t xml:space="preserve"> </w:t>
            </w:r>
            <w:r>
              <w:rPr>
                <w:b/>
                <w:bCs/>
                <w:sz w:val="20"/>
                <w:szCs w:val="20"/>
                <w:lang w:val="en"/>
              </w:rPr>
              <w:t>Equity, Inclusion, and Access (DEIA</w:t>
            </w:r>
            <w:r w:rsidR="00E175E1">
              <w:rPr>
                <w:b/>
                <w:bCs/>
                <w:sz w:val="20"/>
                <w:szCs w:val="20"/>
                <w:lang w:val="en"/>
              </w:rPr>
              <w:t>)</w:t>
            </w:r>
          </w:p>
          <w:p w14:paraId="2D7B797E" w14:textId="77777777" w:rsidR="00F52E23" w:rsidRDefault="00B31A9B">
            <w:pPr>
              <w:rPr>
                <w:sz w:val="20"/>
                <w:szCs w:val="20"/>
              </w:rPr>
            </w:pPr>
            <w:r w:rsidRPr="00B31A9B">
              <w:rPr>
                <w:sz w:val="20"/>
                <w:szCs w:val="20"/>
              </w:rPr>
              <w:t>Center</w:t>
            </w:r>
            <w:r w:rsidR="00461C26">
              <w:rPr>
                <w:sz w:val="20"/>
                <w:szCs w:val="20"/>
              </w:rPr>
              <w:t>,</w:t>
            </w:r>
            <w:r w:rsidRPr="00B31A9B">
              <w:rPr>
                <w:sz w:val="20"/>
                <w:szCs w:val="20"/>
              </w:rPr>
              <w:t xml:space="preserve"> working with its Advisory Board</w:t>
            </w:r>
            <w:r w:rsidR="00ED09C3">
              <w:rPr>
                <w:sz w:val="20"/>
                <w:szCs w:val="20"/>
              </w:rPr>
              <w:t>, provides leadership,</w:t>
            </w:r>
            <w:r w:rsidR="00461C26">
              <w:rPr>
                <w:sz w:val="20"/>
                <w:szCs w:val="20"/>
              </w:rPr>
              <w:t xml:space="preserve"> guidance </w:t>
            </w:r>
            <w:r w:rsidR="00ED09C3">
              <w:rPr>
                <w:sz w:val="20"/>
                <w:szCs w:val="20"/>
              </w:rPr>
              <w:t xml:space="preserve">and actions </w:t>
            </w:r>
            <w:r w:rsidR="00461C26">
              <w:rPr>
                <w:sz w:val="20"/>
                <w:szCs w:val="20"/>
              </w:rPr>
              <w:t>that aligns w/St</w:t>
            </w:r>
            <w:r w:rsidR="00FA7DE7">
              <w:rPr>
                <w:sz w:val="20"/>
                <w:szCs w:val="20"/>
              </w:rPr>
              <w:t xml:space="preserve">ate Boards DEIA Vision </w:t>
            </w:r>
            <w:r w:rsidR="003D2C37">
              <w:rPr>
                <w:sz w:val="20"/>
                <w:szCs w:val="20"/>
              </w:rPr>
              <w:t>– “Recovering and Elimi</w:t>
            </w:r>
            <w:r w:rsidR="00640B47">
              <w:rPr>
                <w:sz w:val="20"/>
                <w:szCs w:val="20"/>
              </w:rPr>
              <w:t>nating Racism and Implicit Bias,</w:t>
            </w:r>
            <w:r w:rsidR="003D2C37">
              <w:rPr>
                <w:sz w:val="20"/>
                <w:szCs w:val="20"/>
              </w:rPr>
              <w:t xml:space="preserve">“ </w:t>
            </w:r>
            <w:r w:rsidR="00FA7DE7">
              <w:rPr>
                <w:sz w:val="20"/>
                <w:szCs w:val="20"/>
              </w:rPr>
              <w:t>and support</w:t>
            </w:r>
            <w:r w:rsidR="00F52E23">
              <w:rPr>
                <w:sz w:val="20"/>
                <w:szCs w:val="20"/>
              </w:rPr>
              <w:t>s</w:t>
            </w:r>
            <w:r w:rsidR="00FA7DE7">
              <w:rPr>
                <w:sz w:val="20"/>
                <w:szCs w:val="20"/>
              </w:rPr>
              <w:t xml:space="preserve"> a </w:t>
            </w:r>
            <w:r w:rsidR="00F52E23">
              <w:rPr>
                <w:sz w:val="20"/>
                <w:szCs w:val="20"/>
              </w:rPr>
              <w:t xml:space="preserve">the elements of  a </w:t>
            </w:r>
            <w:r w:rsidR="00ED09C3">
              <w:rPr>
                <w:sz w:val="20"/>
                <w:szCs w:val="20"/>
              </w:rPr>
              <w:t>R</w:t>
            </w:r>
            <w:r w:rsidR="00FA7DE7">
              <w:rPr>
                <w:sz w:val="20"/>
                <w:szCs w:val="20"/>
              </w:rPr>
              <w:t xml:space="preserve">esilient </w:t>
            </w:r>
            <w:r w:rsidR="00F52E23">
              <w:rPr>
                <w:sz w:val="20"/>
                <w:szCs w:val="20"/>
              </w:rPr>
              <w:t>WA that include</w:t>
            </w:r>
            <w:r w:rsidR="00ED09C3">
              <w:rPr>
                <w:sz w:val="20"/>
                <w:szCs w:val="20"/>
              </w:rPr>
              <w:t>s</w:t>
            </w:r>
            <w:r w:rsidR="00F52E23">
              <w:rPr>
                <w:sz w:val="20"/>
                <w:szCs w:val="20"/>
              </w:rPr>
              <w:t xml:space="preserve">:  improving social connectedness, increasing integration and involvement in planning, response, and recovery in all sectors, ensuring effective risk communications to the population and especially at risk and underrepresented communities, building social and economic health, knowledge, networks, and communication to build a diverse and competitive workforce. </w:t>
            </w:r>
          </w:p>
          <w:p w14:paraId="74F09A0E" w14:textId="77777777" w:rsidR="00F52E23" w:rsidRDefault="00F52E23">
            <w:pPr>
              <w:rPr>
                <w:sz w:val="20"/>
                <w:szCs w:val="20"/>
              </w:rPr>
            </w:pPr>
          </w:p>
          <w:p w14:paraId="4D530FA2" w14:textId="77777777" w:rsidR="00B31A9B" w:rsidRDefault="00B31A9B">
            <w:pPr>
              <w:rPr>
                <w:sz w:val="20"/>
                <w:szCs w:val="20"/>
              </w:rPr>
            </w:pPr>
            <w:r w:rsidRPr="00B31A9B">
              <w:rPr>
                <w:sz w:val="20"/>
                <w:szCs w:val="20"/>
              </w:rPr>
              <w:t>The Boar</w:t>
            </w:r>
            <w:r w:rsidR="00692FF2">
              <w:rPr>
                <w:sz w:val="20"/>
                <w:szCs w:val="20"/>
              </w:rPr>
              <w:t>d established</w:t>
            </w:r>
            <w:r w:rsidRPr="00B31A9B">
              <w:rPr>
                <w:sz w:val="20"/>
                <w:szCs w:val="20"/>
              </w:rPr>
              <w:t xml:space="preserve"> working sub-committee</w:t>
            </w:r>
            <w:r w:rsidR="00F52E23">
              <w:rPr>
                <w:sz w:val="20"/>
                <w:szCs w:val="20"/>
              </w:rPr>
              <w:t>s</w:t>
            </w:r>
            <w:r w:rsidRPr="00B31A9B">
              <w:rPr>
                <w:sz w:val="20"/>
                <w:szCs w:val="20"/>
              </w:rPr>
              <w:t xml:space="preserve"> made up of</w:t>
            </w:r>
            <w:r w:rsidR="00047AD7">
              <w:rPr>
                <w:sz w:val="20"/>
                <w:szCs w:val="20"/>
              </w:rPr>
              <w:t xml:space="preserve"> </w:t>
            </w:r>
            <w:r w:rsidRPr="00B31A9B">
              <w:rPr>
                <w:sz w:val="20"/>
                <w:szCs w:val="20"/>
              </w:rPr>
              <w:t>Board Members, faculty, staff,</w:t>
            </w:r>
            <w:r w:rsidR="00692FF2">
              <w:rPr>
                <w:sz w:val="20"/>
                <w:szCs w:val="20"/>
              </w:rPr>
              <w:t xml:space="preserve"> and students to collaborate on activities and work products</w:t>
            </w:r>
            <w:r w:rsidR="008B79CC">
              <w:rPr>
                <w:sz w:val="20"/>
                <w:szCs w:val="20"/>
              </w:rPr>
              <w:t xml:space="preserve">.  </w:t>
            </w:r>
            <w:r w:rsidR="0056110F">
              <w:rPr>
                <w:sz w:val="20"/>
                <w:szCs w:val="20"/>
              </w:rPr>
              <w:t>The Board’s Co-Chairs</w:t>
            </w:r>
            <w:r w:rsidR="00047AD7">
              <w:rPr>
                <w:sz w:val="20"/>
                <w:szCs w:val="20"/>
              </w:rPr>
              <w:t xml:space="preserve"> will lead the Board in the Brand renewal strategies.   </w:t>
            </w:r>
            <w:r w:rsidR="008B79CC">
              <w:rPr>
                <w:sz w:val="20"/>
                <w:szCs w:val="20"/>
              </w:rPr>
              <w:t xml:space="preserve">Subcommittee chair Amelia Phillips leads the committee’s discussion to develop outreach opportunities in </w:t>
            </w:r>
            <w:r w:rsidR="00692FF2">
              <w:rPr>
                <w:sz w:val="20"/>
                <w:szCs w:val="20"/>
              </w:rPr>
              <w:t>r</w:t>
            </w:r>
            <w:r w:rsidRPr="00B31A9B">
              <w:rPr>
                <w:sz w:val="20"/>
                <w:szCs w:val="20"/>
              </w:rPr>
              <w:t>eviewing current career pathway programs' curriculum reduces implicit bias and social equity issues.</w:t>
            </w:r>
          </w:p>
          <w:p w14:paraId="068BA022" w14:textId="77777777" w:rsidR="008B79CC" w:rsidRPr="00B31A9B" w:rsidRDefault="008B79CC">
            <w:pPr>
              <w:rPr>
                <w:sz w:val="20"/>
                <w:szCs w:val="20"/>
              </w:rPr>
            </w:pPr>
          </w:p>
          <w:p w14:paraId="358AE981" w14:textId="77777777" w:rsidR="00B31A9B" w:rsidRPr="00B31A9B" w:rsidRDefault="00B31A9B" w:rsidP="00163C76">
            <w:pPr>
              <w:rPr>
                <w:sz w:val="20"/>
                <w:szCs w:val="20"/>
              </w:rPr>
            </w:pPr>
          </w:p>
        </w:tc>
      </w:tr>
      <w:tr w:rsidR="00B31A9B" w:rsidRPr="00B31A9B" w14:paraId="4DDDDE2C"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D9D9D9"/>
            <w:tcMar>
              <w:top w:w="115" w:type="dxa"/>
              <w:left w:w="115" w:type="dxa"/>
              <w:bottom w:w="115" w:type="dxa"/>
              <w:right w:w="115" w:type="dxa"/>
            </w:tcMar>
            <w:hideMark/>
          </w:tcPr>
          <w:p w14:paraId="2CA867B8" w14:textId="77777777" w:rsidR="00B31A9B" w:rsidRPr="00B31A9B" w:rsidRDefault="00B31A9B">
            <w:pPr>
              <w:spacing w:line="312" w:lineRule="auto"/>
              <w:jc w:val="center"/>
              <w:rPr>
                <w:b/>
                <w:bCs/>
                <w:sz w:val="20"/>
                <w:szCs w:val="20"/>
              </w:rPr>
            </w:pPr>
            <w:r w:rsidRPr="00B31A9B">
              <w:rPr>
                <w:b/>
                <w:bCs/>
                <w:color w:val="000000"/>
                <w:sz w:val="20"/>
                <w:szCs w:val="20"/>
              </w:rPr>
              <w:t>Funding Sources %</w:t>
            </w:r>
          </w:p>
        </w:tc>
        <w:tc>
          <w:tcPr>
            <w:tcW w:w="6245" w:type="dxa"/>
            <w:tcBorders>
              <w:top w:val="nil"/>
              <w:left w:val="nil"/>
              <w:bottom w:val="single" w:sz="8" w:space="0" w:color="auto"/>
              <w:right w:val="single" w:sz="8" w:space="0" w:color="auto"/>
            </w:tcBorders>
            <w:shd w:val="clear" w:color="auto" w:fill="D9D9D9"/>
            <w:tcMar>
              <w:top w:w="115" w:type="dxa"/>
              <w:left w:w="115" w:type="dxa"/>
              <w:bottom w:w="115" w:type="dxa"/>
              <w:right w:w="115" w:type="dxa"/>
            </w:tcMar>
            <w:hideMark/>
          </w:tcPr>
          <w:p w14:paraId="539FC074" w14:textId="77777777" w:rsidR="00B31A9B" w:rsidRPr="00B31A9B" w:rsidRDefault="00B31A9B">
            <w:pPr>
              <w:spacing w:line="312" w:lineRule="auto"/>
              <w:jc w:val="center"/>
              <w:rPr>
                <w:b/>
                <w:bCs/>
                <w:sz w:val="20"/>
                <w:szCs w:val="20"/>
              </w:rPr>
            </w:pPr>
            <w:r w:rsidRPr="00B31A9B">
              <w:rPr>
                <w:b/>
                <w:bCs/>
                <w:color w:val="000000"/>
                <w:sz w:val="20"/>
                <w:szCs w:val="20"/>
              </w:rPr>
              <w:t>Purpose</w:t>
            </w:r>
          </w:p>
        </w:tc>
        <w:tc>
          <w:tcPr>
            <w:tcW w:w="5977" w:type="dxa"/>
            <w:tcBorders>
              <w:top w:val="nil"/>
              <w:left w:val="nil"/>
              <w:bottom w:val="single" w:sz="8" w:space="0" w:color="auto"/>
              <w:right w:val="single" w:sz="18" w:space="0" w:color="auto"/>
            </w:tcBorders>
            <w:shd w:val="clear" w:color="auto" w:fill="D9D9D9"/>
            <w:tcMar>
              <w:top w:w="115" w:type="dxa"/>
              <w:left w:w="115" w:type="dxa"/>
              <w:bottom w:w="115" w:type="dxa"/>
              <w:right w:w="115" w:type="dxa"/>
            </w:tcMar>
            <w:hideMark/>
          </w:tcPr>
          <w:p w14:paraId="32A70E57" w14:textId="77777777" w:rsidR="00B31A9B" w:rsidRPr="00B31A9B" w:rsidRDefault="00341FA6">
            <w:pPr>
              <w:spacing w:line="312" w:lineRule="auto"/>
              <w:jc w:val="center"/>
              <w:rPr>
                <w:b/>
                <w:bCs/>
                <w:sz w:val="20"/>
                <w:szCs w:val="20"/>
              </w:rPr>
            </w:pPr>
            <w:r>
              <w:rPr>
                <w:b/>
                <w:bCs/>
                <w:color w:val="000000"/>
                <w:sz w:val="20"/>
                <w:szCs w:val="20"/>
              </w:rPr>
              <w:t xml:space="preserve">Projected Outcomes, Work Products, Completion Date </w:t>
            </w:r>
          </w:p>
        </w:tc>
      </w:tr>
      <w:tr w:rsidR="00B31A9B" w:rsidRPr="00B31A9B" w14:paraId="01ADBB23" w14:textId="77777777" w:rsidTr="00B31A9B">
        <w:trPr>
          <w:trHeight w:val="351"/>
        </w:trPr>
        <w:tc>
          <w:tcPr>
            <w:tcW w:w="2448" w:type="dxa"/>
            <w:tcBorders>
              <w:top w:val="nil"/>
              <w:left w:val="single" w:sz="18" w:space="0" w:color="auto"/>
              <w:bottom w:val="single" w:sz="18" w:space="0" w:color="auto"/>
              <w:right w:val="single" w:sz="8" w:space="0" w:color="auto"/>
            </w:tcBorders>
            <w:tcMar>
              <w:top w:w="115" w:type="dxa"/>
              <w:left w:w="115" w:type="dxa"/>
              <w:bottom w:w="115" w:type="dxa"/>
              <w:right w:w="115" w:type="dxa"/>
            </w:tcMar>
            <w:hideMark/>
          </w:tcPr>
          <w:p w14:paraId="53A10B29" w14:textId="77777777" w:rsidR="00B31A9B" w:rsidRPr="00B31A9B" w:rsidRDefault="00451B85" w:rsidP="00451B85">
            <w:pPr>
              <w:spacing w:line="312" w:lineRule="auto"/>
              <w:rPr>
                <w:sz w:val="20"/>
                <w:szCs w:val="20"/>
              </w:rPr>
            </w:pPr>
            <w:r>
              <w:rPr>
                <w:sz w:val="20"/>
                <w:szCs w:val="20"/>
              </w:rPr>
              <w:t>CO</w:t>
            </w:r>
            <w:r w:rsidR="00B31A9B" w:rsidRPr="00B31A9B">
              <w:rPr>
                <w:sz w:val="20"/>
                <w:szCs w:val="20"/>
              </w:rPr>
              <w:t>E-</w:t>
            </w:r>
            <w:r>
              <w:rPr>
                <w:sz w:val="20"/>
                <w:szCs w:val="20"/>
              </w:rPr>
              <w:t>Resilience</w:t>
            </w:r>
            <w:r w:rsidR="00B31A9B" w:rsidRPr="00B31A9B">
              <w:rPr>
                <w:sz w:val="20"/>
                <w:szCs w:val="20"/>
              </w:rPr>
              <w:t xml:space="preserve"> – 100%</w:t>
            </w:r>
          </w:p>
        </w:tc>
        <w:tc>
          <w:tcPr>
            <w:tcW w:w="6245" w:type="dxa"/>
            <w:tcBorders>
              <w:top w:val="nil"/>
              <w:left w:val="nil"/>
              <w:bottom w:val="single" w:sz="18" w:space="0" w:color="auto"/>
              <w:right w:val="single" w:sz="8" w:space="0" w:color="auto"/>
            </w:tcBorders>
            <w:tcMar>
              <w:top w:w="115" w:type="dxa"/>
              <w:left w:w="115" w:type="dxa"/>
              <w:bottom w:w="115" w:type="dxa"/>
              <w:right w:w="115" w:type="dxa"/>
            </w:tcMar>
            <w:hideMark/>
          </w:tcPr>
          <w:p w14:paraId="6436012E" w14:textId="77777777" w:rsidR="0078138A" w:rsidRDefault="00977505" w:rsidP="003F7855">
            <w:pPr>
              <w:numPr>
                <w:ilvl w:val="0"/>
                <w:numId w:val="2"/>
              </w:numPr>
              <w:rPr>
                <w:rFonts w:eastAsia="Times New Roman"/>
                <w:sz w:val="20"/>
                <w:szCs w:val="20"/>
              </w:rPr>
            </w:pPr>
            <w:r w:rsidRPr="0078138A">
              <w:rPr>
                <w:rFonts w:eastAsia="Times New Roman"/>
                <w:sz w:val="20"/>
                <w:szCs w:val="20"/>
              </w:rPr>
              <w:t xml:space="preserve">Community resilience is the ability to prepare, adapt, withstand and recovery from all hazards and the brand communicates effectively the need for an educated and trained </w:t>
            </w:r>
            <w:r w:rsidR="00B0670E">
              <w:rPr>
                <w:rFonts w:eastAsia="Times New Roman"/>
                <w:sz w:val="20"/>
                <w:szCs w:val="20"/>
              </w:rPr>
              <w:t xml:space="preserve">workforce </w:t>
            </w:r>
            <w:r w:rsidR="0078138A">
              <w:rPr>
                <w:rFonts w:eastAsia="Times New Roman"/>
                <w:sz w:val="20"/>
                <w:szCs w:val="20"/>
              </w:rPr>
              <w:t xml:space="preserve">to help communities cope, strengthen support systems, respond effectively, bounce back for adversity and improve social connectedness especially with at-risk populations. </w:t>
            </w:r>
          </w:p>
          <w:p w14:paraId="06D82106" w14:textId="77777777" w:rsidR="00B31A9B" w:rsidRPr="0078138A" w:rsidRDefault="00305A2B" w:rsidP="003F7855">
            <w:pPr>
              <w:numPr>
                <w:ilvl w:val="0"/>
                <w:numId w:val="2"/>
              </w:numPr>
              <w:rPr>
                <w:rFonts w:eastAsia="Times New Roman"/>
                <w:sz w:val="20"/>
                <w:szCs w:val="20"/>
              </w:rPr>
            </w:pPr>
            <w:r w:rsidRPr="0078138A">
              <w:rPr>
                <w:rFonts w:eastAsia="Times New Roman"/>
                <w:sz w:val="20"/>
                <w:szCs w:val="20"/>
              </w:rPr>
              <w:t xml:space="preserve">Review </w:t>
            </w:r>
            <w:proofErr w:type="gramStart"/>
            <w:r w:rsidR="00B31A9B" w:rsidRPr="0078138A">
              <w:rPr>
                <w:rFonts w:eastAsia="Times New Roman"/>
                <w:sz w:val="20"/>
                <w:szCs w:val="20"/>
              </w:rPr>
              <w:t>deliver</w:t>
            </w:r>
            <w:proofErr w:type="gramEnd"/>
            <w:r w:rsidR="00B31A9B" w:rsidRPr="0078138A">
              <w:rPr>
                <w:rFonts w:eastAsia="Times New Roman"/>
                <w:sz w:val="20"/>
                <w:szCs w:val="20"/>
              </w:rPr>
              <w:t xml:space="preserve"> social equity/social justice courses and activities in collaboration with current faculty, staff, and students to identify and address EDI issues of racism within the all-hazard emergency management field to improve outcomes communities and vulnerable populations.</w:t>
            </w:r>
          </w:p>
          <w:p w14:paraId="2C779875" w14:textId="77777777" w:rsidR="00B31A9B" w:rsidRPr="00B31A9B" w:rsidRDefault="00B31A9B" w:rsidP="007907F1">
            <w:pPr>
              <w:numPr>
                <w:ilvl w:val="0"/>
                <w:numId w:val="2"/>
              </w:numPr>
              <w:rPr>
                <w:rFonts w:eastAsia="Times New Roman"/>
                <w:sz w:val="20"/>
                <w:szCs w:val="20"/>
              </w:rPr>
            </w:pPr>
            <w:r w:rsidRPr="00B31A9B">
              <w:rPr>
                <w:rFonts w:eastAsia="Times New Roman"/>
                <w:sz w:val="20"/>
                <w:szCs w:val="20"/>
              </w:rPr>
              <w:t xml:space="preserve">Our programs lead with racial equity and recruit diverse individuals. To help incorporate change in the culture.   People </w:t>
            </w:r>
            <w:r w:rsidRPr="00B31A9B">
              <w:rPr>
                <w:rFonts w:eastAsia="Times New Roman"/>
                <w:sz w:val="20"/>
                <w:szCs w:val="20"/>
              </w:rPr>
              <w:lastRenderedPageBreak/>
              <w:t xml:space="preserve">want to see themselves reflected within education and organizational values. </w:t>
            </w:r>
          </w:p>
          <w:p w14:paraId="0320799A" w14:textId="77777777" w:rsidR="00B31A9B" w:rsidRPr="00B31A9B" w:rsidRDefault="00E175E1" w:rsidP="00A72060">
            <w:pPr>
              <w:numPr>
                <w:ilvl w:val="0"/>
                <w:numId w:val="2"/>
              </w:numPr>
              <w:rPr>
                <w:rFonts w:eastAsia="Times New Roman"/>
                <w:sz w:val="20"/>
                <w:szCs w:val="20"/>
              </w:rPr>
            </w:pPr>
            <w:r>
              <w:rPr>
                <w:rFonts w:eastAsia="Times New Roman"/>
                <w:sz w:val="20"/>
                <w:szCs w:val="20"/>
              </w:rPr>
              <w:t>Current occupation (CHMURA) Workforce Data Pilot will be utilized to show demographic changes in all career pathway programs.</w:t>
            </w:r>
            <w:r w:rsidR="00B31A9B" w:rsidRPr="0015739A">
              <w:rPr>
                <w:rFonts w:eastAsia="Times New Roman"/>
                <w:sz w:val="20"/>
                <w:szCs w:val="20"/>
              </w:rPr>
              <w:t xml:space="preserve"> </w:t>
            </w:r>
            <w:r w:rsidR="00A72060">
              <w:rPr>
                <w:rFonts w:eastAsia="Times New Roman"/>
                <w:sz w:val="20"/>
                <w:szCs w:val="20"/>
              </w:rPr>
              <w:t xml:space="preserve">This project will demonstrate the use and effectiveness of occupational, industry, and other data to the workforce education and training system.  </w:t>
            </w:r>
            <w:r w:rsidR="00B31A9B" w:rsidRPr="0015739A">
              <w:rPr>
                <w:rFonts w:eastAsia="Times New Roman"/>
                <w:sz w:val="20"/>
                <w:szCs w:val="20"/>
              </w:rPr>
              <w:t xml:space="preserve">  </w:t>
            </w:r>
          </w:p>
        </w:tc>
        <w:tc>
          <w:tcPr>
            <w:tcW w:w="5977" w:type="dxa"/>
            <w:tcBorders>
              <w:top w:val="nil"/>
              <w:left w:val="nil"/>
              <w:bottom w:val="single" w:sz="18" w:space="0" w:color="auto"/>
              <w:right w:val="single" w:sz="18" w:space="0" w:color="auto"/>
            </w:tcBorders>
            <w:tcMar>
              <w:top w:w="115" w:type="dxa"/>
              <w:left w:w="115" w:type="dxa"/>
              <w:bottom w:w="115" w:type="dxa"/>
              <w:right w:w="115" w:type="dxa"/>
            </w:tcMar>
            <w:hideMark/>
          </w:tcPr>
          <w:p w14:paraId="0FE5CC29" w14:textId="24D8561F" w:rsidR="00556FCB" w:rsidRDefault="00556FCB" w:rsidP="00ED189E">
            <w:pPr>
              <w:numPr>
                <w:ilvl w:val="0"/>
                <w:numId w:val="23"/>
              </w:numPr>
              <w:rPr>
                <w:rFonts w:eastAsia="Times New Roman"/>
                <w:sz w:val="20"/>
                <w:szCs w:val="20"/>
              </w:rPr>
            </w:pPr>
            <w:r>
              <w:rPr>
                <w:rFonts w:eastAsia="Times New Roman"/>
                <w:sz w:val="20"/>
                <w:szCs w:val="20"/>
              </w:rPr>
              <w:lastRenderedPageBreak/>
              <w:t>B</w:t>
            </w:r>
            <w:r w:rsidR="00862597">
              <w:rPr>
                <w:rFonts w:eastAsia="Times New Roman"/>
                <w:sz w:val="20"/>
                <w:szCs w:val="20"/>
              </w:rPr>
              <w:t xml:space="preserve">rand </w:t>
            </w:r>
            <w:r w:rsidR="002E5A35">
              <w:rPr>
                <w:rFonts w:eastAsia="Times New Roman"/>
                <w:sz w:val="20"/>
                <w:szCs w:val="20"/>
              </w:rPr>
              <w:t>renewal</w:t>
            </w:r>
            <w:r w:rsidR="00862597">
              <w:rPr>
                <w:rFonts w:eastAsia="Times New Roman"/>
                <w:sz w:val="20"/>
                <w:szCs w:val="20"/>
              </w:rPr>
              <w:t xml:space="preserve"> -Brands are designed to connect organizations to customers and represent the COEs mission, vision, and values. </w:t>
            </w:r>
            <w:r w:rsidR="0017086A">
              <w:rPr>
                <w:rFonts w:eastAsia="Times New Roman"/>
                <w:sz w:val="20"/>
                <w:szCs w:val="20"/>
              </w:rPr>
              <w:t>The co-chairs will facilitate discussion regarding a brand refresh and the current refresh option which is “Community Resilience:  Safe-Secure-Ready.” The original name was selected in</w:t>
            </w:r>
            <w:r w:rsidR="00862597">
              <w:rPr>
                <w:rFonts w:eastAsia="Times New Roman"/>
                <w:sz w:val="20"/>
                <w:szCs w:val="20"/>
              </w:rPr>
              <w:t xml:space="preserve"> 2009 </w:t>
            </w:r>
            <w:r w:rsidR="0017086A">
              <w:rPr>
                <w:rFonts w:eastAsia="Times New Roman"/>
                <w:sz w:val="20"/>
                <w:szCs w:val="20"/>
              </w:rPr>
              <w:t xml:space="preserve">when the </w:t>
            </w:r>
            <w:r w:rsidR="00862597">
              <w:rPr>
                <w:rFonts w:eastAsia="Times New Roman"/>
                <w:sz w:val="20"/>
                <w:szCs w:val="20"/>
              </w:rPr>
              <w:t xml:space="preserve">Center received funding from </w:t>
            </w:r>
            <w:r w:rsidR="0017086A">
              <w:rPr>
                <w:rFonts w:eastAsia="Times New Roman"/>
                <w:sz w:val="20"/>
                <w:szCs w:val="20"/>
              </w:rPr>
              <w:t xml:space="preserve">federal </w:t>
            </w:r>
            <w:r w:rsidR="00862597">
              <w:rPr>
                <w:rFonts w:eastAsia="Times New Roman"/>
                <w:sz w:val="20"/>
                <w:szCs w:val="20"/>
              </w:rPr>
              <w:t>Homeland Security</w:t>
            </w:r>
            <w:r w:rsidR="0017086A">
              <w:rPr>
                <w:rFonts w:eastAsia="Times New Roman"/>
                <w:sz w:val="20"/>
                <w:szCs w:val="20"/>
              </w:rPr>
              <w:t xml:space="preserve"> Department</w:t>
            </w:r>
            <w:r w:rsidR="002E5A35">
              <w:rPr>
                <w:rFonts w:eastAsia="Times New Roman"/>
                <w:sz w:val="20"/>
                <w:szCs w:val="20"/>
              </w:rPr>
              <w:t xml:space="preserve"> to help prepare a skilled workforce to help maintain our national security, assure effective responses to all hazard emergency events through education and training and build disaster resilience in our communities. More than 14 years have passed and</w:t>
            </w:r>
            <w:r w:rsidR="0017086A">
              <w:rPr>
                <w:rFonts w:eastAsia="Times New Roman"/>
                <w:sz w:val="20"/>
                <w:szCs w:val="20"/>
              </w:rPr>
              <w:t xml:space="preserve"> our  </w:t>
            </w:r>
            <w:r w:rsidR="002E5A35">
              <w:rPr>
                <w:rFonts w:eastAsia="Times New Roman"/>
                <w:sz w:val="20"/>
                <w:szCs w:val="20"/>
              </w:rPr>
              <w:t xml:space="preserve"> brand </w:t>
            </w:r>
            <w:r w:rsidR="00ED189E">
              <w:rPr>
                <w:rFonts w:eastAsia="Times New Roman"/>
                <w:sz w:val="20"/>
                <w:szCs w:val="20"/>
              </w:rPr>
              <w:t>needs a refresh.</w:t>
            </w:r>
            <w:r w:rsidR="002E5A35">
              <w:rPr>
                <w:rFonts w:eastAsia="Times New Roman"/>
                <w:sz w:val="20"/>
                <w:szCs w:val="20"/>
              </w:rPr>
              <w:t xml:space="preserve"> </w:t>
            </w:r>
            <w:r w:rsidR="00326E32">
              <w:rPr>
                <w:rFonts w:eastAsia="Times New Roman"/>
                <w:sz w:val="20"/>
                <w:szCs w:val="20"/>
              </w:rPr>
              <w:t xml:space="preserve"> </w:t>
            </w:r>
          </w:p>
          <w:p w14:paraId="7DD5F1BF" w14:textId="77777777" w:rsidR="00B31A9B" w:rsidRPr="00B31A9B" w:rsidRDefault="00CC2EAA" w:rsidP="00C7479B">
            <w:pPr>
              <w:numPr>
                <w:ilvl w:val="0"/>
                <w:numId w:val="23"/>
              </w:numPr>
              <w:rPr>
                <w:rFonts w:eastAsia="Times New Roman"/>
                <w:sz w:val="20"/>
                <w:szCs w:val="20"/>
              </w:rPr>
            </w:pPr>
            <w:r>
              <w:rPr>
                <w:rFonts w:eastAsia="Times New Roman"/>
                <w:sz w:val="20"/>
                <w:szCs w:val="20"/>
              </w:rPr>
              <w:lastRenderedPageBreak/>
              <w:t>Amelia Phillips, sub-committee lead, will identify committee members from the Board and other interested volunteers to serve on this committee which will</w:t>
            </w:r>
            <w:r w:rsidR="00E175E1">
              <w:rPr>
                <w:rFonts w:eastAsia="Times New Roman"/>
                <w:sz w:val="20"/>
                <w:szCs w:val="20"/>
              </w:rPr>
              <w:t xml:space="preserve"> communicate</w:t>
            </w:r>
            <w:r w:rsidR="00B31A9B" w:rsidRPr="00B31A9B">
              <w:rPr>
                <w:rFonts w:eastAsia="Times New Roman"/>
                <w:sz w:val="20"/>
                <w:szCs w:val="20"/>
              </w:rPr>
              <w:t xml:space="preserve"> with constituencies regarding </w:t>
            </w:r>
            <w:r w:rsidR="00E175E1">
              <w:rPr>
                <w:rFonts w:eastAsia="Times New Roman"/>
                <w:sz w:val="20"/>
                <w:szCs w:val="20"/>
              </w:rPr>
              <w:t>COE</w:t>
            </w:r>
            <w:r w:rsidR="00B31A9B" w:rsidRPr="00B31A9B">
              <w:rPr>
                <w:rFonts w:eastAsia="Times New Roman"/>
                <w:sz w:val="20"/>
                <w:szCs w:val="20"/>
              </w:rPr>
              <w:t xml:space="preserve"> position on </w:t>
            </w:r>
            <w:r w:rsidR="00E175E1">
              <w:rPr>
                <w:rFonts w:eastAsia="Times New Roman"/>
                <w:sz w:val="20"/>
                <w:szCs w:val="20"/>
              </w:rPr>
              <w:t>DEIA</w:t>
            </w:r>
            <w:r w:rsidR="00B31A9B" w:rsidRPr="00B31A9B">
              <w:rPr>
                <w:rFonts w:eastAsia="Times New Roman"/>
                <w:sz w:val="20"/>
                <w:szCs w:val="20"/>
              </w:rPr>
              <w:t xml:space="preserve"> to our pathway programs and will host discussion </w:t>
            </w:r>
            <w:r>
              <w:rPr>
                <w:rFonts w:eastAsia="Times New Roman"/>
                <w:sz w:val="20"/>
                <w:szCs w:val="20"/>
              </w:rPr>
              <w:t xml:space="preserve">4 </w:t>
            </w:r>
            <w:r w:rsidR="00B31A9B" w:rsidRPr="00B31A9B">
              <w:rPr>
                <w:rFonts w:eastAsia="Times New Roman"/>
                <w:sz w:val="20"/>
                <w:szCs w:val="20"/>
              </w:rPr>
              <w:t>forums w/program faculty, students, and staff to improve effort/activities continually.</w:t>
            </w:r>
          </w:p>
          <w:p w14:paraId="13A82DB7" w14:textId="77777777" w:rsidR="00192711" w:rsidRDefault="00192711" w:rsidP="00C7479B">
            <w:pPr>
              <w:numPr>
                <w:ilvl w:val="0"/>
                <w:numId w:val="23"/>
              </w:numPr>
              <w:rPr>
                <w:rFonts w:eastAsia="Times New Roman"/>
                <w:sz w:val="20"/>
                <w:szCs w:val="20"/>
              </w:rPr>
            </w:pPr>
            <w:r>
              <w:rPr>
                <w:rFonts w:eastAsia="Times New Roman"/>
                <w:sz w:val="20"/>
                <w:szCs w:val="20"/>
              </w:rPr>
              <w:t xml:space="preserve">Committee will identify group/organizations and associations on our SBCTC campuses that </w:t>
            </w:r>
            <w:r w:rsidR="00987475">
              <w:rPr>
                <w:rFonts w:eastAsia="Times New Roman"/>
                <w:sz w:val="20"/>
                <w:szCs w:val="20"/>
              </w:rPr>
              <w:t>are providing diversity and equity</w:t>
            </w:r>
            <w:r>
              <w:rPr>
                <w:rFonts w:eastAsia="Times New Roman"/>
                <w:sz w:val="20"/>
                <w:szCs w:val="20"/>
              </w:rPr>
              <w:t xml:space="preserve"> outreach to women in EM, Black Public Officials, and CTC VP/leads i</w:t>
            </w:r>
            <w:r w:rsidR="00987475">
              <w:rPr>
                <w:rFonts w:eastAsia="Times New Roman"/>
                <w:sz w:val="20"/>
                <w:szCs w:val="20"/>
              </w:rPr>
              <w:t xml:space="preserve">n DEIA for our state’s colleges and assess how the Center can work with them most effective by </w:t>
            </w:r>
            <w:r w:rsidR="006E7507">
              <w:rPr>
                <w:rFonts w:eastAsia="Times New Roman"/>
                <w:sz w:val="20"/>
                <w:szCs w:val="20"/>
              </w:rPr>
              <w:t>fall</w:t>
            </w:r>
            <w:r w:rsidR="00987475">
              <w:rPr>
                <w:rFonts w:eastAsia="Times New Roman"/>
                <w:sz w:val="20"/>
                <w:szCs w:val="20"/>
              </w:rPr>
              <w:t xml:space="preserve"> quarter</w:t>
            </w:r>
            <w:r w:rsidR="006E7507">
              <w:rPr>
                <w:rFonts w:eastAsia="Times New Roman"/>
                <w:sz w:val="20"/>
                <w:szCs w:val="20"/>
              </w:rPr>
              <w:t xml:space="preserve"> 2023</w:t>
            </w:r>
            <w:r w:rsidR="00987475">
              <w:rPr>
                <w:rFonts w:eastAsia="Times New Roman"/>
                <w:sz w:val="20"/>
                <w:szCs w:val="20"/>
              </w:rPr>
              <w:t>.</w:t>
            </w:r>
          </w:p>
          <w:p w14:paraId="35EE8CBD" w14:textId="77777777" w:rsidR="00944E51" w:rsidRDefault="00192711" w:rsidP="00944E51">
            <w:pPr>
              <w:numPr>
                <w:ilvl w:val="0"/>
                <w:numId w:val="23"/>
              </w:numPr>
              <w:rPr>
                <w:rFonts w:eastAsia="Times New Roman"/>
                <w:sz w:val="20"/>
                <w:szCs w:val="20"/>
              </w:rPr>
            </w:pPr>
            <w:r>
              <w:rPr>
                <w:rFonts w:eastAsia="Times New Roman"/>
                <w:sz w:val="20"/>
                <w:szCs w:val="20"/>
              </w:rPr>
              <w:t>Julie Jefferson, will lead the activity to develop a</w:t>
            </w:r>
            <w:r w:rsidR="008708B8">
              <w:rPr>
                <w:rFonts w:eastAsia="Times New Roman"/>
                <w:sz w:val="20"/>
                <w:szCs w:val="20"/>
              </w:rPr>
              <w:t>ctions</w:t>
            </w:r>
            <w:r>
              <w:rPr>
                <w:rFonts w:eastAsia="Times New Roman"/>
                <w:sz w:val="20"/>
                <w:szCs w:val="20"/>
              </w:rPr>
              <w:t xml:space="preserve"> that help expand current and future workforce supply of Native educators and tribal educators and tribal members to obtain certifications/degrees in Public Safety and Health, Securit</w:t>
            </w:r>
            <w:r w:rsidR="00944E51">
              <w:rPr>
                <w:rFonts w:eastAsia="Times New Roman"/>
                <w:sz w:val="20"/>
                <w:szCs w:val="20"/>
              </w:rPr>
              <w:t>y, and Risk/EM Careers pathways and collaborate w/ DRB Women in Business Continuity Management: key themes for discussion include professional development, growth in women careers, skills or functional limitations, innovation and growth kills.</w:t>
            </w:r>
            <w:r w:rsidR="003220BF">
              <w:rPr>
                <w:rFonts w:eastAsia="Times New Roman"/>
                <w:sz w:val="20"/>
                <w:szCs w:val="20"/>
              </w:rPr>
              <w:t xml:space="preserve"> Outreach will be ongoing.</w:t>
            </w:r>
          </w:p>
          <w:p w14:paraId="1B99FE89" w14:textId="77777777" w:rsidR="00192711" w:rsidRPr="00B31A9B" w:rsidRDefault="00847718" w:rsidP="00C7479B">
            <w:pPr>
              <w:numPr>
                <w:ilvl w:val="0"/>
                <w:numId w:val="23"/>
              </w:numPr>
              <w:rPr>
                <w:rFonts w:eastAsia="Times New Roman"/>
                <w:sz w:val="20"/>
                <w:szCs w:val="20"/>
              </w:rPr>
            </w:pPr>
            <w:r w:rsidRPr="00B31A9B">
              <w:rPr>
                <w:rFonts w:eastAsia="Times New Roman"/>
                <w:sz w:val="20"/>
                <w:szCs w:val="20"/>
              </w:rPr>
              <w:t>Continue outreach to underrepresented communities and partner with an organization</w:t>
            </w:r>
            <w:r w:rsidR="0022490A">
              <w:rPr>
                <w:rFonts w:eastAsia="Times New Roman"/>
                <w:sz w:val="20"/>
                <w:szCs w:val="20"/>
              </w:rPr>
              <w:t>s</w:t>
            </w:r>
            <w:r w:rsidRPr="00B31A9B">
              <w:rPr>
                <w:rFonts w:eastAsia="Times New Roman"/>
                <w:sz w:val="20"/>
                <w:szCs w:val="20"/>
              </w:rPr>
              <w:t xml:space="preserve"> such as</w:t>
            </w:r>
            <w:r w:rsidRPr="00B31A9B">
              <w:rPr>
                <w:rFonts w:eastAsia="Times New Roman"/>
                <w:color w:val="FF0000"/>
                <w:sz w:val="20"/>
                <w:szCs w:val="20"/>
              </w:rPr>
              <w:t>:</w:t>
            </w:r>
            <w:r w:rsidRPr="00B31A9B">
              <w:rPr>
                <w:rFonts w:eastAsia="Times New Roman"/>
                <w:sz w:val="20"/>
                <w:szCs w:val="20"/>
              </w:rPr>
              <w:t xml:space="preserve"> Aspiring Emergency Managers Online (AEMO), Black Emergency Managers Association, Institute for Diversity and Inclusion, and Coalition on Inclusive Emergency Planning (CEIP) </w:t>
            </w:r>
            <w:r w:rsidRPr="00900943">
              <w:rPr>
                <w:rFonts w:eastAsia="Times New Roman"/>
                <w:sz w:val="20"/>
                <w:szCs w:val="20"/>
              </w:rPr>
              <w:t>to provide information on HSEM career pathway</w:t>
            </w:r>
            <w:r>
              <w:rPr>
                <w:rFonts w:eastAsia="Times New Roman"/>
                <w:sz w:val="20"/>
                <w:szCs w:val="20"/>
              </w:rPr>
              <w:t>s and educational opportunities and</w:t>
            </w:r>
            <w:r w:rsidR="00192711">
              <w:rPr>
                <w:rFonts w:eastAsia="Times New Roman"/>
                <w:sz w:val="20"/>
                <w:szCs w:val="20"/>
              </w:rPr>
              <w:t xml:space="preserve"> </w:t>
            </w:r>
            <w:r>
              <w:rPr>
                <w:rFonts w:eastAsia="Times New Roman"/>
                <w:sz w:val="20"/>
                <w:szCs w:val="20"/>
              </w:rPr>
              <w:t>identify capacity, skills gaps, trends, and best practices gaps needed within the community resiliency pathways that require development of curriculum and certification.</w:t>
            </w:r>
            <w:r w:rsidR="0022490A">
              <w:rPr>
                <w:rFonts w:eastAsia="Times New Roman"/>
                <w:sz w:val="20"/>
                <w:szCs w:val="20"/>
              </w:rPr>
              <w:t xml:space="preserve">  </w:t>
            </w:r>
            <w:r w:rsidR="00C44A1F">
              <w:rPr>
                <w:rFonts w:eastAsia="Times New Roman"/>
                <w:sz w:val="20"/>
                <w:szCs w:val="20"/>
              </w:rPr>
              <w:t xml:space="preserve">Quarterly activities will be identified. </w:t>
            </w:r>
          </w:p>
          <w:p w14:paraId="7DC6995E" w14:textId="77777777" w:rsidR="00B31A9B" w:rsidRPr="00B31A9B" w:rsidRDefault="00A72060" w:rsidP="00C7479B">
            <w:pPr>
              <w:numPr>
                <w:ilvl w:val="0"/>
                <w:numId w:val="23"/>
              </w:numPr>
              <w:rPr>
                <w:rFonts w:eastAsia="Times New Roman"/>
                <w:sz w:val="20"/>
                <w:szCs w:val="20"/>
              </w:rPr>
            </w:pPr>
            <w:r>
              <w:rPr>
                <w:rFonts w:eastAsia="Times New Roman"/>
                <w:sz w:val="20"/>
                <w:szCs w:val="20"/>
              </w:rPr>
              <w:t>Workforce Data Pilot will identify, extract, for</w:t>
            </w:r>
            <w:r w:rsidR="00291EF9">
              <w:rPr>
                <w:rFonts w:eastAsia="Times New Roman"/>
                <w:sz w:val="20"/>
                <w:szCs w:val="20"/>
              </w:rPr>
              <w:t xml:space="preserve">mat, and deliver workforce, &amp; </w:t>
            </w:r>
            <w:r>
              <w:rPr>
                <w:rFonts w:eastAsia="Times New Roman"/>
                <w:sz w:val="20"/>
                <w:szCs w:val="20"/>
              </w:rPr>
              <w:t xml:space="preserve">related data, asking the </w:t>
            </w:r>
            <w:proofErr w:type="spellStart"/>
            <w:r>
              <w:rPr>
                <w:rFonts w:eastAsia="Times New Roman"/>
                <w:sz w:val="20"/>
                <w:szCs w:val="20"/>
              </w:rPr>
              <w:t>Ch</w:t>
            </w:r>
            <w:r w:rsidR="00291EF9">
              <w:rPr>
                <w:rFonts w:eastAsia="Times New Roman"/>
                <w:sz w:val="20"/>
                <w:szCs w:val="20"/>
              </w:rPr>
              <w:t>umura</w:t>
            </w:r>
            <w:proofErr w:type="spellEnd"/>
            <w:r w:rsidR="00291EF9">
              <w:rPr>
                <w:rFonts w:eastAsia="Times New Roman"/>
                <w:sz w:val="20"/>
                <w:szCs w:val="20"/>
              </w:rPr>
              <w:t xml:space="preserve"> Jobs EQ RTI platform.  </w:t>
            </w:r>
            <w:r>
              <w:rPr>
                <w:rFonts w:eastAsia="Times New Roman"/>
                <w:sz w:val="20"/>
                <w:szCs w:val="20"/>
              </w:rPr>
              <w:t xml:space="preserve">Centers </w:t>
            </w:r>
            <w:r w:rsidR="00291EF9">
              <w:rPr>
                <w:rFonts w:eastAsia="Times New Roman"/>
                <w:sz w:val="20"/>
                <w:szCs w:val="20"/>
              </w:rPr>
              <w:t>participating in</w:t>
            </w:r>
            <w:r>
              <w:rPr>
                <w:rFonts w:eastAsia="Times New Roman"/>
                <w:sz w:val="20"/>
                <w:szCs w:val="20"/>
              </w:rPr>
              <w:t xml:space="preserve"> the Phase II Pilot and will engage in data collection, work w/RTI Jobs </w:t>
            </w:r>
            <w:r w:rsidR="00590B4A">
              <w:rPr>
                <w:rFonts w:eastAsia="Times New Roman"/>
                <w:sz w:val="20"/>
                <w:szCs w:val="20"/>
              </w:rPr>
              <w:t>posting</w:t>
            </w:r>
            <w:r>
              <w:rPr>
                <w:rFonts w:eastAsia="Times New Roman"/>
                <w:sz w:val="20"/>
                <w:szCs w:val="20"/>
              </w:rPr>
              <w:t xml:space="preserve"> tool, and develop a community of practice and information dissemination p</w:t>
            </w:r>
            <w:r w:rsidR="00C12584">
              <w:rPr>
                <w:rFonts w:eastAsia="Times New Roman"/>
                <w:sz w:val="20"/>
                <w:szCs w:val="20"/>
              </w:rPr>
              <w:t xml:space="preserve">rocess.  Completion spring 2023 of this project and ongoing CHMURA data will continue throughout the year with colleges and pathway programs. </w:t>
            </w:r>
          </w:p>
          <w:p w14:paraId="46F6B5EA" w14:textId="77777777" w:rsidR="00B31A9B" w:rsidRPr="00B31A9B" w:rsidRDefault="00B31A9B" w:rsidP="00291EF9">
            <w:pPr>
              <w:ind w:left="360"/>
              <w:rPr>
                <w:rFonts w:eastAsia="Times New Roman"/>
                <w:sz w:val="20"/>
                <w:szCs w:val="20"/>
              </w:rPr>
            </w:pPr>
          </w:p>
        </w:tc>
      </w:tr>
      <w:tr w:rsidR="00B31A9B" w:rsidRPr="00B31A9B" w14:paraId="331310F4" w14:textId="77777777" w:rsidTr="00B31A9B">
        <w:trPr>
          <w:trHeight w:val="351"/>
        </w:trPr>
        <w:tc>
          <w:tcPr>
            <w:tcW w:w="14670" w:type="dxa"/>
            <w:gridSpan w:val="3"/>
            <w:tcBorders>
              <w:top w:val="nil"/>
              <w:left w:val="single" w:sz="18" w:space="0" w:color="auto"/>
              <w:bottom w:val="single" w:sz="8" w:space="0" w:color="auto"/>
              <w:right w:val="single" w:sz="18" w:space="0" w:color="auto"/>
            </w:tcBorders>
            <w:shd w:val="clear" w:color="auto" w:fill="D9D9D9"/>
            <w:tcMar>
              <w:top w:w="115" w:type="dxa"/>
              <w:left w:w="115" w:type="dxa"/>
              <w:bottom w:w="115" w:type="dxa"/>
              <w:right w:w="115" w:type="dxa"/>
            </w:tcMar>
            <w:vAlign w:val="center"/>
            <w:hideMark/>
          </w:tcPr>
          <w:p w14:paraId="00F0DB20" w14:textId="77777777" w:rsidR="00B31A9B" w:rsidRPr="00B31A9B" w:rsidRDefault="00B31A9B">
            <w:pPr>
              <w:spacing w:line="312" w:lineRule="auto"/>
              <w:jc w:val="center"/>
              <w:rPr>
                <w:b/>
                <w:bCs/>
                <w:sz w:val="20"/>
                <w:szCs w:val="20"/>
              </w:rPr>
            </w:pPr>
            <w:r w:rsidRPr="00B31A9B">
              <w:rPr>
                <w:b/>
                <w:bCs/>
                <w:color w:val="000000"/>
                <w:sz w:val="20"/>
                <w:szCs w:val="20"/>
              </w:rPr>
              <w:lastRenderedPageBreak/>
              <w:t>Report and Analysis on Actual Outcomes and Products</w:t>
            </w:r>
          </w:p>
        </w:tc>
      </w:tr>
      <w:tr w:rsidR="00B31A9B" w:rsidRPr="00B31A9B" w14:paraId="4325899E"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7D7E1F32" w14:textId="77777777" w:rsidR="00B31A9B" w:rsidRPr="00B31A9B" w:rsidRDefault="00B31A9B">
            <w:pPr>
              <w:rPr>
                <w:b/>
                <w:bCs/>
                <w:sz w:val="20"/>
                <w:szCs w:val="20"/>
              </w:rPr>
            </w:pPr>
            <w:r w:rsidRPr="00B31A9B">
              <w:rPr>
                <w:b/>
                <w:bCs/>
                <w:color w:val="000000"/>
                <w:sz w:val="20"/>
                <w:szCs w:val="20"/>
              </w:rPr>
              <w:t>Quarter 1</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hideMark/>
          </w:tcPr>
          <w:p w14:paraId="45B95BED" w14:textId="1721753D" w:rsidR="00B31A9B" w:rsidRPr="00800E3D" w:rsidRDefault="00D06777" w:rsidP="00800E3D">
            <w:pPr>
              <w:pStyle w:val="ListParagraph"/>
              <w:numPr>
                <w:ilvl w:val="0"/>
                <w:numId w:val="43"/>
              </w:numPr>
              <w:spacing w:line="312" w:lineRule="auto"/>
              <w:rPr>
                <w:color w:val="FF0000"/>
                <w:sz w:val="20"/>
                <w:szCs w:val="20"/>
              </w:rPr>
            </w:pPr>
            <w:bookmarkStart w:id="0" w:name="_Hlk152757637"/>
            <w:r>
              <w:rPr>
                <w:sz w:val="20"/>
                <w:szCs w:val="20"/>
              </w:rPr>
              <w:t>The Center</w:t>
            </w:r>
            <w:r w:rsidR="00800E3D">
              <w:rPr>
                <w:sz w:val="20"/>
                <w:szCs w:val="20"/>
              </w:rPr>
              <w:t xml:space="preserve"> discussed</w:t>
            </w:r>
            <w:r w:rsidR="00B30BE0">
              <w:rPr>
                <w:sz w:val="20"/>
                <w:szCs w:val="20"/>
              </w:rPr>
              <w:t xml:space="preserve"> more details in</w:t>
            </w:r>
            <w:r w:rsidR="00800E3D">
              <w:rPr>
                <w:sz w:val="20"/>
                <w:szCs w:val="20"/>
              </w:rPr>
              <w:t xml:space="preserve"> </w:t>
            </w:r>
            <w:r>
              <w:rPr>
                <w:sz w:val="20"/>
                <w:szCs w:val="20"/>
              </w:rPr>
              <w:t>rebranding with Advisory Board co-chairs.</w:t>
            </w:r>
            <w:r w:rsidR="00B30BE0">
              <w:rPr>
                <w:sz w:val="20"/>
                <w:szCs w:val="20"/>
              </w:rPr>
              <w:t xml:space="preserve"> Will be receiving feedback </w:t>
            </w:r>
            <w:r>
              <w:rPr>
                <w:sz w:val="20"/>
                <w:szCs w:val="20"/>
              </w:rPr>
              <w:t xml:space="preserve">at Nov. 1 </w:t>
            </w:r>
            <w:r w:rsidR="008861BD">
              <w:rPr>
                <w:sz w:val="20"/>
                <w:szCs w:val="20"/>
              </w:rPr>
              <w:t>A</w:t>
            </w:r>
            <w:r>
              <w:rPr>
                <w:sz w:val="20"/>
                <w:szCs w:val="20"/>
              </w:rPr>
              <w:t xml:space="preserve">dvisory </w:t>
            </w:r>
            <w:r w:rsidR="008861BD">
              <w:rPr>
                <w:sz w:val="20"/>
                <w:szCs w:val="20"/>
              </w:rPr>
              <w:t>B</w:t>
            </w:r>
            <w:r>
              <w:rPr>
                <w:sz w:val="20"/>
                <w:szCs w:val="20"/>
              </w:rPr>
              <w:t xml:space="preserve">oard </w:t>
            </w:r>
            <w:r w:rsidR="008861BD">
              <w:rPr>
                <w:sz w:val="20"/>
                <w:szCs w:val="20"/>
              </w:rPr>
              <w:t>M</w:t>
            </w:r>
            <w:r>
              <w:rPr>
                <w:sz w:val="20"/>
                <w:szCs w:val="20"/>
              </w:rPr>
              <w:t>eeting</w:t>
            </w:r>
            <w:r w:rsidR="00B30BE0">
              <w:rPr>
                <w:sz w:val="20"/>
                <w:szCs w:val="20"/>
              </w:rPr>
              <w:t xml:space="preserve"> for more possible names or comments.</w:t>
            </w:r>
            <w:r>
              <w:rPr>
                <w:sz w:val="20"/>
                <w:szCs w:val="20"/>
              </w:rPr>
              <w:t xml:space="preserve"> </w:t>
            </w:r>
          </w:p>
          <w:p w14:paraId="26136DDA" w14:textId="4A370B0D" w:rsidR="00800E3D" w:rsidRPr="00247AEB" w:rsidRDefault="008861BD" w:rsidP="00800E3D">
            <w:pPr>
              <w:pStyle w:val="ListParagraph"/>
              <w:numPr>
                <w:ilvl w:val="0"/>
                <w:numId w:val="43"/>
              </w:numPr>
              <w:spacing w:line="312" w:lineRule="auto"/>
              <w:rPr>
                <w:color w:val="FF0000"/>
                <w:sz w:val="20"/>
                <w:szCs w:val="20"/>
              </w:rPr>
            </w:pPr>
            <w:r>
              <w:rPr>
                <w:sz w:val="20"/>
                <w:szCs w:val="20"/>
              </w:rPr>
              <w:t xml:space="preserve">Discussion for identifying more people to serve on DEIA subcommittee is planned and will be </w:t>
            </w:r>
            <w:proofErr w:type="spellStart"/>
            <w:proofErr w:type="gramStart"/>
            <w:r>
              <w:rPr>
                <w:sz w:val="20"/>
                <w:szCs w:val="20"/>
              </w:rPr>
              <w:t>lead</w:t>
            </w:r>
            <w:proofErr w:type="spellEnd"/>
            <w:proofErr w:type="gramEnd"/>
            <w:r>
              <w:rPr>
                <w:sz w:val="20"/>
                <w:szCs w:val="20"/>
              </w:rPr>
              <w:t xml:space="preserve"> by Amelia Phillips on the Nov. 1 Advisory Board Meeting. </w:t>
            </w:r>
            <w:r w:rsidR="00800E3D">
              <w:rPr>
                <w:sz w:val="20"/>
                <w:szCs w:val="20"/>
              </w:rPr>
              <w:t xml:space="preserve"> </w:t>
            </w:r>
          </w:p>
          <w:p w14:paraId="28B8760C" w14:textId="77777777" w:rsidR="00247AEB" w:rsidRPr="00247AEB" w:rsidRDefault="00247AEB" w:rsidP="00800E3D">
            <w:pPr>
              <w:pStyle w:val="ListParagraph"/>
              <w:numPr>
                <w:ilvl w:val="0"/>
                <w:numId w:val="43"/>
              </w:numPr>
              <w:spacing w:line="312" w:lineRule="auto"/>
              <w:rPr>
                <w:color w:val="FF0000"/>
                <w:sz w:val="20"/>
                <w:szCs w:val="20"/>
              </w:rPr>
            </w:pPr>
            <w:r>
              <w:rPr>
                <w:sz w:val="20"/>
                <w:szCs w:val="20"/>
              </w:rPr>
              <w:t xml:space="preserve">The subcommittee is continuing to identify groups/organizations and associations on our SBCTC campuses that are providing diversity and equity outreach. </w:t>
            </w:r>
          </w:p>
          <w:p w14:paraId="603BF4A4" w14:textId="399F58F1" w:rsidR="00247AEB" w:rsidRPr="008861BD" w:rsidRDefault="008861BD" w:rsidP="008861BD">
            <w:pPr>
              <w:pStyle w:val="ListParagraph"/>
              <w:numPr>
                <w:ilvl w:val="0"/>
                <w:numId w:val="43"/>
              </w:numPr>
              <w:spacing w:line="312" w:lineRule="auto"/>
              <w:rPr>
                <w:color w:val="FF0000"/>
                <w:sz w:val="20"/>
                <w:szCs w:val="20"/>
              </w:rPr>
            </w:pPr>
            <w:r>
              <w:rPr>
                <w:sz w:val="20"/>
                <w:szCs w:val="20"/>
              </w:rPr>
              <w:t>Discussion for continued outreach will proceed a</w:t>
            </w:r>
            <w:r w:rsidR="00247AEB" w:rsidRPr="008861BD">
              <w:rPr>
                <w:sz w:val="20"/>
                <w:szCs w:val="20"/>
              </w:rPr>
              <w:t xml:space="preserve">t the November 1 </w:t>
            </w:r>
            <w:r>
              <w:rPr>
                <w:sz w:val="20"/>
                <w:szCs w:val="20"/>
              </w:rPr>
              <w:t>A</w:t>
            </w:r>
            <w:r w:rsidR="00247AEB" w:rsidRPr="008861BD">
              <w:rPr>
                <w:sz w:val="20"/>
                <w:szCs w:val="20"/>
              </w:rPr>
              <w:t xml:space="preserve">dvisory </w:t>
            </w:r>
            <w:r>
              <w:rPr>
                <w:sz w:val="20"/>
                <w:szCs w:val="20"/>
              </w:rPr>
              <w:t>B</w:t>
            </w:r>
            <w:r w:rsidR="00247AEB" w:rsidRPr="008861BD">
              <w:rPr>
                <w:sz w:val="20"/>
                <w:szCs w:val="20"/>
              </w:rPr>
              <w:t xml:space="preserve">oard </w:t>
            </w:r>
            <w:r>
              <w:rPr>
                <w:sz w:val="20"/>
                <w:szCs w:val="20"/>
              </w:rPr>
              <w:t>M</w:t>
            </w:r>
            <w:r w:rsidR="00247AEB" w:rsidRPr="008861BD">
              <w:rPr>
                <w:sz w:val="20"/>
                <w:szCs w:val="20"/>
              </w:rPr>
              <w:t>eeting</w:t>
            </w:r>
            <w:r>
              <w:rPr>
                <w:sz w:val="20"/>
                <w:szCs w:val="20"/>
              </w:rPr>
              <w:t xml:space="preserve"> with</w:t>
            </w:r>
            <w:r w:rsidR="00247AEB" w:rsidRPr="008861BD">
              <w:rPr>
                <w:sz w:val="20"/>
                <w:szCs w:val="20"/>
              </w:rPr>
              <w:t xml:space="preserve"> Julie Jefferson </w:t>
            </w:r>
            <w:r>
              <w:rPr>
                <w:sz w:val="20"/>
                <w:szCs w:val="20"/>
              </w:rPr>
              <w:t>as the lead to discuss ac</w:t>
            </w:r>
            <w:r w:rsidR="00247AEB" w:rsidRPr="008861BD">
              <w:rPr>
                <w:sz w:val="20"/>
                <w:szCs w:val="20"/>
              </w:rPr>
              <w:t>tions that will help expand</w:t>
            </w:r>
            <w:r w:rsidR="002B5E45" w:rsidRPr="008861BD">
              <w:rPr>
                <w:sz w:val="20"/>
                <w:szCs w:val="20"/>
              </w:rPr>
              <w:t xml:space="preserve"> opportunities to obtain certifications/degrees for tribal members and educators.</w:t>
            </w:r>
          </w:p>
          <w:p w14:paraId="52058984" w14:textId="13108C34" w:rsidR="002B5E45" w:rsidRPr="004E6C15" w:rsidRDefault="002B5E45" w:rsidP="00800E3D">
            <w:pPr>
              <w:pStyle w:val="ListParagraph"/>
              <w:numPr>
                <w:ilvl w:val="0"/>
                <w:numId w:val="43"/>
              </w:numPr>
              <w:spacing w:line="312" w:lineRule="auto"/>
              <w:rPr>
                <w:color w:val="FF0000"/>
                <w:sz w:val="20"/>
                <w:szCs w:val="20"/>
              </w:rPr>
            </w:pPr>
            <w:r>
              <w:rPr>
                <w:sz w:val="20"/>
                <w:szCs w:val="20"/>
              </w:rPr>
              <w:t>The Center continues to outreach to underrepresented communities by partnering with organizations</w:t>
            </w:r>
            <w:r w:rsidR="008861BD">
              <w:rPr>
                <w:sz w:val="20"/>
                <w:szCs w:val="20"/>
              </w:rPr>
              <w:t xml:space="preserve"> and other Centers</w:t>
            </w:r>
            <w:r>
              <w:rPr>
                <w:sz w:val="20"/>
                <w:szCs w:val="20"/>
              </w:rPr>
              <w:t xml:space="preserve"> for our summits</w:t>
            </w:r>
            <w:r w:rsidR="008861BD">
              <w:rPr>
                <w:sz w:val="20"/>
                <w:szCs w:val="20"/>
              </w:rPr>
              <w:t xml:space="preserve">/events </w:t>
            </w:r>
            <w:r>
              <w:rPr>
                <w:sz w:val="20"/>
                <w:szCs w:val="20"/>
              </w:rPr>
              <w:t xml:space="preserve">to </w:t>
            </w:r>
            <w:r w:rsidR="004E6C15">
              <w:rPr>
                <w:sz w:val="20"/>
                <w:szCs w:val="20"/>
              </w:rPr>
              <w:t xml:space="preserve">provide </w:t>
            </w:r>
            <w:r>
              <w:rPr>
                <w:sz w:val="20"/>
                <w:szCs w:val="20"/>
              </w:rPr>
              <w:t xml:space="preserve">information on HSEM career pathways and </w:t>
            </w:r>
            <w:r w:rsidR="004E6C15">
              <w:rPr>
                <w:sz w:val="20"/>
                <w:szCs w:val="20"/>
              </w:rPr>
              <w:t>educational opportunities. During these events, the goals are to identify capacity, skill gaps, trends, and best practice gaps.</w:t>
            </w:r>
            <w:r w:rsidR="004D59B4">
              <w:rPr>
                <w:sz w:val="20"/>
                <w:szCs w:val="20"/>
              </w:rPr>
              <w:t xml:space="preserve"> </w:t>
            </w:r>
            <w:r w:rsidR="008861BD">
              <w:rPr>
                <w:sz w:val="20"/>
                <w:szCs w:val="20"/>
              </w:rPr>
              <w:t xml:space="preserve">The Center has been involved with weekly meetings for the Securing the Supply Chain Summit workgroup. (Meetings are currently being spaced out </w:t>
            </w:r>
            <w:r w:rsidR="00526583">
              <w:rPr>
                <w:sz w:val="20"/>
                <w:szCs w:val="20"/>
              </w:rPr>
              <w:t>on a monthly basis instead with a pause in Nov. and Dec.)</w:t>
            </w:r>
          </w:p>
          <w:bookmarkEnd w:id="0"/>
          <w:p w14:paraId="6A7FC7EC" w14:textId="1BC4E3CA" w:rsidR="004E6C15" w:rsidRPr="00800E3D" w:rsidRDefault="004E6C15" w:rsidP="00800E3D">
            <w:pPr>
              <w:pStyle w:val="ListParagraph"/>
              <w:numPr>
                <w:ilvl w:val="0"/>
                <w:numId w:val="43"/>
              </w:numPr>
              <w:spacing w:line="312" w:lineRule="auto"/>
              <w:rPr>
                <w:color w:val="FF0000"/>
                <w:sz w:val="20"/>
                <w:szCs w:val="20"/>
              </w:rPr>
            </w:pPr>
            <w:r w:rsidRPr="004E6C15">
              <w:rPr>
                <w:sz w:val="20"/>
                <w:szCs w:val="20"/>
              </w:rPr>
              <w:t>Workforce</w:t>
            </w:r>
            <w:r>
              <w:rPr>
                <w:sz w:val="20"/>
                <w:szCs w:val="20"/>
              </w:rPr>
              <w:t xml:space="preserve"> data has been continually retrieved using the CHMURA </w:t>
            </w:r>
            <w:proofErr w:type="spellStart"/>
            <w:r>
              <w:rPr>
                <w:sz w:val="20"/>
                <w:szCs w:val="20"/>
              </w:rPr>
              <w:t>JobsEQ</w:t>
            </w:r>
            <w:proofErr w:type="spellEnd"/>
            <w:r>
              <w:rPr>
                <w:sz w:val="20"/>
                <w:szCs w:val="20"/>
              </w:rPr>
              <w:t xml:space="preserve"> tool</w:t>
            </w:r>
            <w:r w:rsidR="00732357">
              <w:rPr>
                <w:sz w:val="20"/>
                <w:szCs w:val="20"/>
              </w:rPr>
              <w:t>. Trends data has been extracted and provided to various entities including, Fire Departments, the State Fire Marshall’s office, Pierce College Deans, Directors, etc. CHMURA data retrieval will be an ongoing process.</w:t>
            </w:r>
          </w:p>
        </w:tc>
      </w:tr>
      <w:tr w:rsidR="00B31A9B" w:rsidRPr="00B31A9B" w14:paraId="2D1A1388"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121D46EC" w14:textId="77777777" w:rsidR="00B31A9B" w:rsidRPr="00B31A9B" w:rsidRDefault="00B31A9B">
            <w:pPr>
              <w:rPr>
                <w:b/>
                <w:bCs/>
                <w:sz w:val="20"/>
                <w:szCs w:val="20"/>
              </w:rPr>
            </w:pPr>
            <w:r w:rsidRPr="00B31A9B">
              <w:rPr>
                <w:b/>
                <w:bCs/>
                <w:color w:val="000000"/>
                <w:sz w:val="20"/>
                <w:szCs w:val="20"/>
              </w:rPr>
              <w:t>Quarter 2</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08367B05" w14:textId="77777777" w:rsidR="00B31A9B" w:rsidRPr="00B31A9B" w:rsidRDefault="00B31A9B" w:rsidP="00551B85">
            <w:pPr>
              <w:spacing w:line="312" w:lineRule="auto"/>
              <w:rPr>
                <w:sz w:val="20"/>
                <w:szCs w:val="20"/>
              </w:rPr>
            </w:pPr>
          </w:p>
        </w:tc>
      </w:tr>
      <w:tr w:rsidR="00B31A9B" w:rsidRPr="00B31A9B" w14:paraId="6091C71E"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5C6C2265" w14:textId="77777777" w:rsidR="00B31A9B" w:rsidRPr="00B31A9B" w:rsidRDefault="00B31A9B">
            <w:pPr>
              <w:rPr>
                <w:b/>
                <w:bCs/>
                <w:sz w:val="20"/>
                <w:szCs w:val="20"/>
              </w:rPr>
            </w:pPr>
            <w:r w:rsidRPr="00B31A9B">
              <w:rPr>
                <w:b/>
                <w:bCs/>
                <w:color w:val="000000"/>
                <w:sz w:val="20"/>
                <w:szCs w:val="20"/>
              </w:rPr>
              <w:t>Quarter 3</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3B705C4D" w14:textId="77777777" w:rsidR="0032718E" w:rsidRPr="00B31A9B" w:rsidRDefault="00FA6F84" w:rsidP="008B4E46">
            <w:pPr>
              <w:spacing w:before="240" w:line="312" w:lineRule="auto"/>
              <w:rPr>
                <w:sz w:val="20"/>
                <w:szCs w:val="20"/>
              </w:rPr>
            </w:pPr>
            <w:r>
              <w:rPr>
                <w:sz w:val="20"/>
                <w:szCs w:val="20"/>
              </w:rPr>
              <w:t xml:space="preserve"> </w:t>
            </w:r>
          </w:p>
        </w:tc>
      </w:tr>
      <w:tr w:rsidR="00B31A9B" w:rsidRPr="00B31A9B" w14:paraId="2D3C7325"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5390BF3C" w14:textId="77777777" w:rsidR="00B31A9B" w:rsidRPr="00B31A9B" w:rsidRDefault="00B31A9B">
            <w:pPr>
              <w:rPr>
                <w:b/>
                <w:bCs/>
                <w:sz w:val="20"/>
                <w:szCs w:val="20"/>
              </w:rPr>
            </w:pPr>
            <w:r w:rsidRPr="00B31A9B">
              <w:rPr>
                <w:b/>
                <w:bCs/>
                <w:color w:val="000000"/>
                <w:sz w:val="20"/>
                <w:szCs w:val="20"/>
              </w:rPr>
              <w:t>Quarter 4</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73054BDE" w14:textId="77777777" w:rsidR="00B31A9B" w:rsidRPr="00B31A9B" w:rsidRDefault="00B31A9B">
            <w:pPr>
              <w:spacing w:line="312" w:lineRule="auto"/>
              <w:rPr>
                <w:sz w:val="20"/>
                <w:szCs w:val="20"/>
              </w:rPr>
            </w:pPr>
          </w:p>
        </w:tc>
      </w:tr>
      <w:tr w:rsidR="004B3C09" w:rsidRPr="00B31A9B" w14:paraId="049241A6"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031A10B6" w14:textId="77777777" w:rsidR="004B3C09" w:rsidRPr="00B31A9B" w:rsidRDefault="004B3C09">
            <w:pPr>
              <w:rPr>
                <w:b/>
                <w:bCs/>
                <w:color w:val="000000"/>
                <w:sz w:val="20"/>
                <w:szCs w:val="20"/>
              </w:rPr>
            </w:pPr>
            <w:r w:rsidRPr="00B31A9B">
              <w:rPr>
                <w:b/>
                <w:bCs/>
                <w:color w:val="000000"/>
                <w:sz w:val="20"/>
                <w:szCs w:val="20"/>
              </w:rPr>
              <w:t>Analysis Quarter #1</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19FFC76C" w14:textId="19B92E5F" w:rsidR="004B3C09" w:rsidRPr="00B31A9B" w:rsidRDefault="00B30BE0">
            <w:pPr>
              <w:spacing w:line="312" w:lineRule="auto"/>
              <w:rPr>
                <w:sz w:val="20"/>
                <w:szCs w:val="20"/>
              </w:rPr>
            </w:pPr>
            <w:r>
              <w:rPr>
                <w:sz w:val="20"/>
                <w:szCs w:val="20"/>
              </w:rPr>
              <w:t>The Center received a full-time permanent program manager and a part-time permanent project specialist</w:t>
            </w:r>
            <w:r w:rsidR="008861BD">
              <w:rPr>
                <w:sz w:val="20"/>
                <w:szCs w:val="20"/>
              </w:rPr>
              <w:t xml:space="preserve"> in August 2023 </w:t>
            </w:r>
            <w:r>
              <w:rPr>
                <w:sz w:val="20"/>
                <w:szCs w:val="20"/>
              </w:rPr>
              <w:t>to support rebranding</w:t>
            </w:r>
            <w:r w:rsidR="008861BD">
              <w:rPr>
                <w:sz w:val="20"/>
                <w:szCs w:val="20"/>
              </w:rPr>
              <w:t xml:space="preserve">, </w:t>
            </w:r>
            <w:r>
              <w:rPr>
                <w:sz w:val="20"/>
                <w:szCs w:val="20"/>
              </w:rPr>
              <w:t>identifying opportunities for outreach</w:t>
            </w:r>
            <w:r w:rsidR="008861BD">
              <w:rPr>
                <w:sz w:val="20"/>
                <w:szCs w:val="20"/>
              </w:rPr>
              <w:t>, and providing workforce trends/data</w:t>
            </w:r>
            <w:r>
              <w:rPr>
                <w:sz w:val="20"/>
                <w:szCs w:val="20"/>
              </w:rPr>
              <w:t>. Due to the cyber security incident that happened to Pierce College from July 24, 2023 – Sept. 2023, email accounts and computers were inaccessible. All Center staff have been in the process of recovering as much information as they can prior to the incident.</w:t>
            </w:r>
          </w:p>
        </w:tc>
      </w:tr>
      <w:tr w:rsidR="004B3C09" w:rsidRPr="00B31A9B" w14:paraId="2579906E"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19C04DFD" w14:textId="7861477E" w:rsidR="004B3C09" w:rsidRPr="00B31A9B" w:rsidRDefault="004B3C09">
            <w:pPr>
              <w:rPr>
                <w:b/>
                <w:bCs/>
                <w:color w:val="000000"/>
                <w:sz w:val="20"/>
                <w:szCs w:val="20"/>
              </w:rPr>
            </w:pPr>
            <w:r>
              <w:rPr>
                <w:b/>
                <w:bCs/>
                <w:color w:val="000000"/>
                <w:sz w:val="20"/>
                <w:szCs w:val="20"/>
              </w:rPr>
              <w:t>Analysis Quarter #2</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017CA2AE" w14:textId="77777777" w:rsidR="004B3C09" w:rsidRPr="00B31A9B" w:rsidRDefault="004B3C09">
            <w:pPr>
              <w:spacing w:line="312" w:lineRule="auto"/>
              <w:rPr>
                <w:sz w:val="20"/>
                <w:szCs w:val="20"/>
              </w:rPr>
            </w:pPr>
          </w:p>
        </w:tc>
      </w:tr>
      <w:tr w:rsidR="004B3C09" w:rsidRPr="00B31A9B" w14:paraId="6D07237F"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7E301F25" w14:textId="2C4F45A1" w:rsidR="004B3C09" w:rsidRDefault="004B3C09" w:rsidP="004B3C09">
            <w:pPr>
              <w:rPr>
                <w:b/>
                <w:bCs/>
                <w:color w:val="000000"/>
                <w:sz w:val="20"/>
                <w:szCs w:val="20"/>
              </w:rPr>
            </w:pPr>
            <w:r>
              <w:rPr>
                <w:b/>
                <w:bCs/>
                <w:color w:val="000000"/>
                <w:sz w:val="20"/>
                <w:szCs w:val="20"/>
              </w:rPr>
              <w:lastRenderedPageBreak/>
              <w:t>Analysis Quarter #3</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1727CD99" w14:textId="77777777" w:rsidR="004B3C09" w:rsidRPr="00B31A9B" w:rsidRDefault="004B3C09">
            <w:pPr>
              <w:spacing w:line="312" w:lineRule="auto"/>
              <w:rPr>
                <w:sz w:val="20"/>
                <w:szCs w:val="20"/>
              </w:rPr>
            </w:pPr>
          </w:p>
        </w:tc>
      </w:tr>
      <w:tr w:rsidR="00B31A9B" w:rsidRPr="00B31A9B" w14:paraId="5198EF71" w14:textId="77777777" w:rsidTr="00551B85">
        <w:trPr>
          <w:trHeight w:val="351"/>
        </w:trPr>
        <w:tc>
          <w:tcPr>
            <w:tcW w:w="2448" w:type="dxa"/>
            <w:tcBorders>
              <w:top w:val="nil"/>
              <w:left w:val="single" w:sz="18" w:space="0" w:color="auto"/>
              <w:bottom w:val="nil"/>
              <w:right w:val="single" w:sz="8" w:space="0" w:color="auto"/>
            </w:tcBorders>
            <w:shd w:val="clear" w:color="auto" w:fill="F2F2F2"/>
            <w:tcMar>
              <w:top w:w="115" w:type="dxa"/>
              <w:left w:w="115" w:type="dxa"/>
              <w:bottom w:w="115" w:type="dxa"/>
              <w:right w:w="115" w:type="dxa"/>
            </w:tcMar>
            <w:vAlign w:val="center"/>
            <w:hideMark/>
          </w:tcPr>
          <w:p w14:paraId="45E9B2D3" w14:textId="77777777" w:rsidR="00B31A9B" w:rsidRPr="00B31A9B" w:rsidRDefault="004B3C09">
            <w:pPr>
              <w:rPr>
                <w:b/>
                <w:bCs/>
                <w:sz w:val="20"/>
                <w:szCs w:val="20"/>
              </w:rPr>
            </w:pPr>
            <w:r>
              <w:rPr>
                <w:b/>
                <w:bCs/>
                <w:color w:val="000000"/>
                <w:sz w:val="20"/>
                <w:szCs w:val="20"/>
              </w:rPr>
              <w:t>Analysis Quarter #4</w:t>
            </w:r>
          </w:p>
        </w:tc>
        <w:tc>
          <w:tcPr>
            <w:tcW w:w="12222" w:type="dxa"/>
            <w:gridSpan w:val="2"/>
            <w:tcBorders>
              <w:top w:val="nil"/>
              <w:left w:val="nil"/>
              <w:bottom w:val="nil"/>
              <w:right w:val="single" w:sz="18" w:space="0" w:color="auto"/>
            </w:tcBorders>
            <w:tcMar>
              <w:top w:w="115" w:type="dxa"/>
              <w:left w:w="115" w:type="dxa"/>
              <w:bottom w:w="115" w:type="dxa"/>
              <w:right w:w="115" w:type="dxa"/>
            </w:tcMar>
            <w:vAlign w:val="center"/>
            <w:hideMark/>
          </w:tcPr>
          <w:p w14:paraId="317E33E0" w14:textId="77777777" w:rsidR="00551B85" w:rsidRPr="00B31A9B" w:rsidRDefault="00551B85">
            <w:pPr>
              <w:spacing w:line="312" w:lineRule="auto"/>
              <w:rPr>
                <w:sz w:val="20"/>
                <w:szCs w:val="20"/>
              </w:rPr>
            </w:pPr>
          </w:p>
        </w:tc>
      </w:tr>
      <w:tr w:rsidR="00551B85" w:rsidRPr="00B31A9B" w14:paraId="7775B3F0"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4F7706C3" w14:textId="77777777" w:rsidR="00E31978" w:rsidRPr="00B31A9B" w:rsidRDefault="00E31978" w:rsidP="00E31978">
            <w:pPr>
              <w:rPr>
                <w:b/>
                <w:bCs/>
                <w:color w:val="000000"/>
                <w:sz w:val="20"/>
                <w:szCs w:val="20"/>
              </w:rPr>
            </w:pP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244B4A7F" w14:textId="77777777" w:rsidR="00E31978" w:rsidRPr="00B31A9B" w:rsidRDefault="00E31978" w:rsidP="00D36852">
            <w:pPr>
              <w:spacing w:line="312" w:lineRule="auto"/>
              <w:rPr>
                <w:sz w:val="20"/>
                <w:szCs w:val="20"/>
              </w:rPr>
            </w:pPr>
          </w:p>
        </w:tc>
      </w:tr>
    </w:tbl>
    <w:p w14:paraId="7984FB2A" w14:textId="77777777" w:rsidR="00B31A9B" w:rsidRPr="00B31A9B" w:rsidRDefault="00B31A9B" w:rsidP="00B31A9B">
      <w:pPr>
        <w:rPr>
          <w:sz w:val="20"/>
          <w:szCs w:val="20"/>
        </w:rPr>
      </w:pPr>
    </w:p>
    <w:p w14:paraId="0807573D" w14:textId="11283CD2" w:rsidR="00C61F76" w:rsidRDefault="00C61F76" w:rsidP="00B31A9B">
      <w:pPr>
        <w:rPr>
          <w:sz w:val="20"/>
          <w:szCs w:val="20"/>
        </w:rPr>
      </w:pPr>
    </w:p>
    <w:p w14:paraId="4FB1FCEF" w14:textId="77777777" w:rsidR="00552B8A" w:rsidRDefault="00552B8A" w:rsidP="00B31A9B">
      <w:pPr>
        <w:rPr>
          <w:sz w:val="20"/>
          <w:szCs w:val="20"/>
        </w:rPr>
      </w:pPr>
    </w:p>
    <w:p w14:paraId="1CAA64DA" w14:textId="77777777" w:rsidR="00B31A9B" w:rsidRPr="00B31A9B" w:rsidRDefault="00B31A9B" w:rsidP="00B31A9B">
      <w:pPr>
        <w:rPr>
          <w:sz w:val="20"/>
          <w:szCs w:val="20"/>
        </w:rPr>
      </w:pPr>
    </w:p>
    <w:tbl>
      <w:tblPr>
        <w:tblW w:w="14670" w:type="dxa"/>
        <w:tblCellMar>
          <w:left w:w="0" w:type="dxa"/>
          <w:right w:w="0" w:type="dxa"/>
        </w:tblCellMar>
        <w:tblLook w:val="04A0" w:firstRow="1" w:lastRow="0" w:firstColumn="1" w:lastColumn="0" w:noHBand="0" w:noVBand="1"/>
      </w:tblPr>
      <w:tblGrid>
        <w:gridCol w:w="2448"/>
        <w:gridCol w:w="6245"/>
        <w:gridCol w:w="5977"/>
      </w:tblGrid>
      <w:tr w:rsidR="00B31A9B" w:rsidRPr="00B31A9B" w14:paraId="45E0AEE0" w14:textId="77777777" w:rsidTr="00B31A9B">
        <w:trPr>
          <w:trHeight w:val="55"/>
        </w:trPr>
        <w:tc>
          <w:tcPr>
            <w:tcW w:w="2448" w:type="dxa"/>
            <w:tcBorders>
              <w:top w:val="single" w:sz="18" w:space="0" w:color="auto"/>
              <w:left w:val="single" w:sz="18" w:space="0" w:color="auto"/>
              <w:bottom w:val="single" w:sz="8" w:space="0" w:color="auto"/>
              <w:right w:val="single" w:sz="8" w:space="0" w:color="auto"/>
            </w:tcBorders>
            <w:shd w:val="clear" w:color="auto" w:fill="D9D9D9"/>
            <w:tcMar>
              <w:top w:w="115" w:type="dxa"/>
              <w:left w:w="115" w:type="dxa"/>
              <w:bottom w:w="115" w:type="dxa"/>
              <w:right w:w="115" w:type="dxa"/>
            </w:tcMar>
            <w:vAlign w:val="center"/>
            <w:hideMark/>
          </w:tcPr>
          <w:p w14:paraId="4FEBC0AF" w14:textId="77777777" w:rsidR="00B31A9B" w:rsidRPr="00B31A9B" w:rsidRDefault="00B31A9B">
            <w:pPr>
              <w:jc w:val="center"/>
              <w:rPr>
                <w:b/>
                <w:bCs/>
                <w:sz w:val="20"/>
                <w:szCs w:val="20"/>
              </w:rPr>
            </w:pPr>
            <w:r w:rsidRPr="00B31A9B">
              <w:rPr>
                <w:rFonts w:eastAsia="Times New Roman"/>
                <w:b/>
                <w:bCs/>
                <w:sz w:val="20"/>
                <w:szCs w:val="20"/>
              </w:rPr>
              <w:br w:type="page"/>
            </w:r>
            <w:r w:rsidRPr="00B31A9B">
              <w:rPr>
                <w:b/>
                <w:bCs/>
                <w:color w:val="000000"/>
                <w:sz w:val="20"/>
                <w:szCs w:val="20"/>
              </w:rPr>
              <w:t>Core Expectations</w:t>
            </w:r>
            <w:r w:rsidRPr="00B31A9B">
              <w:rPr>
                <w:color w:val="000000"/>
                <w:sz w:val="20"/>
                <w:szCs w:val="20"/>
              </w:rPr>
              <w:br w:type="page"/>
            </w:r>
          </w:p>
        </w:tc>
        <w:tc>
          <w:tcPr>
            <w:tcW w:w="12222" w:type="dxa"/>
            <w:gridSpan w:val="2"/>
            <w:tcBorders>
              <w:top w:val="single" w:sz="18" w:space="0" w:color="auto"/>
              <w:left w:val="nil"/>
              <w:bottom w:val="single" w:sz="8" w:space="0" w:color="auto"/>
              <w:right w:val="single" w:sz="18" w:space="0" w:color="auto"/>
            </w:tcBorders>
            <w:shd w:val="clear" w:color="auto" w:fill="D9D9D9"/>
            <w:tcMar>
              <w:top w:w="115" w:type="dxa"/>
              <w:left w:w="115" w:type="dxa"/>
              <w:bottom w:w="115" w:type="dxa"/>
              <w:right w:w="115" w:type="dxa"/>
            </w:tcMar>
            <w:vAlign w:val="center"/>
            <w:hideMark/>
          </w:tcPr>
          <w:p w14:paraId="224BC9F9" w14:textId="77777777" w:rsidR="00B31A9B" w:rsidRDefault="00B31A9B">
            <w:pPr>
              <w:jc w:val="center"/>
              <w:rPr>
                <w:b/>
                <w:bCs/>
                <w:color w:val="000000"/>
                <w:sz w:val="20"/>
                <w:szCs w:val="20"/>
              </w:rPr>
            </w:pPr>
            <w:r w:rsidRPr="00B31A9B">
              <w:rPr>
                <w:b/>
                <w:bCs/>
                <w:color w:val="000000"/>
                <w:sz w:val="20"/>
                <w:szCs w:val="20"/>
              </w:rPr>
              <w:t>Activity #2</w:t>
            </w:r>
          </w:p>
          <w:p w14:paraId="50902B79" w14:textId="77777777" w:rsidR="00C61F76" w:rsidRPr="00B31A9B" w:rsidRDefault="00C61F76">
            <w:pPr>
              <w:jc w:val="center"/>
              <w:rPr>
                <w:b/>
                <w:bCs/>
                <w:sz w:val="20"/>
                <w:szCs w:val="20"/>
              </w:rPr>
            </w:pPr>
            <w:r>
              <w:rPr>
                <w:b/>
                <w:bCs/>
                <w:color w:val="000000"/>
                <w:sz w:val="20"/>
                <w:szCs w:val="20"/>
              </w:rPr>
              <w:t xml:space="preserve">Public and Private Partnerships </w:t>
            </w:r>
          </w:p>
        </w:tc>
      </w:tr>
      <w:tr w:rsidR="00B31A9B" w:rsidRPr="00B31A9B" w14:paraId="7F939A27" w14:textId="77777777" w:rsidTr="00B31A9B">
        <w:trPr>
          <w:trHeight w:val="775"/>
        </w:trPr>
        <w:tc>
          <w:tcPr>
            <w:tcW w:w="2448" w:type="dxa"/>
            <w:tcBorders>
              <w:top w:val="nil"/>
              <w:left w:val="single" w:sz="18" w:space="0" w:color="auto"/>
              <w:bottom w:val="single" w:sz="8" w:space="0" w:color="auto"/>
              <w:right w:val="single" w:sz="8" w:space="0" w:color="auto"/>
            </w:tcBorders>
            <w:tcMar>
              <w:top w:w="115" w:type="dxa"/>
              <w:left w:w="115" w:type="dxa"/>
              <w:bottom w:w="115" w:type="dxa"/>
              <w:right w:w="115" w:type="dxa"/>
            </w:tcMar>
            <w:vAlign w:val="center"/>
            <w:hideMark/>
          </w:tcPr>
          <w:p w14:paraId="57A1B31F" w14:textId="77777777" w:rsidR="00B31A9B" w:rsidRPr="00B31A9B" w:rsidRDefault="001A2AC6">
            <w:pPr>
              <w:spacing w:line="480" w:lineRule="auto"/>
              <w:rPr>
                <w:sz w:val="20"/>
                <w:szCs w:val="20"/>
              </w:rPr>
            </w:pPr>
            <w:sdt>
              <w:sdtPr>
                <w:rPr>
                  <w:sz w:val="20"/>
                  <w:szCs w:val="20"/>
                </w:rPr>
                <w:id w:val="-382558136"/>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Economic Development</w:t>
            </w:r>
          </w:p>
          <w:p w14:paraId="71618DBE" w14:textId="77777777" w:rsidR="00B31A9B" w:rsidRPr="00B31A9B" w:rsidRDefault="001A2AC6">
            <w:pPr>
              <w:spacing w:line="480" w:lineRule="auto"/>
              <w:rPr>
                <w:sz w:val="20"/>
                <w:szCs w:val="20"/>
              </w:rPr>
            </w:pPr>
            <w:sdt>
              <w:sdtPr>
                <w:rPr>
                  <w:sz w:val="20"/>
                  <w:szCs w:val="20"/>
                </w:rPr>
                <w:id w:val="1517575661"/>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Sector Strategy</w:t>
            </w:r>
          </w:p>
          <w:p w14:paraId="468797ED" w14:textId="77777777" w:rsidR="00B31A9B" w:rsidRPr="00B31A9B" w:rsidRDefault="001A2AC6">
            <w:pPr>
              <w:spacing w:line="480" w:lineRule="auto"/>
              <w:rPr>
                <w:sz w:val="20"/>
                <w:szCs w:val="20"/>
              </w:rPr>
            </w:pPr>
            <w:sdt>
              <w:sdtPr>
                <w:rPr>
                  <w:sz w:val="20"/>
                  <w:szCs w:val="20"/>
                </w:rPr>
                <w:id w:val="-1474757082"/>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Ed/Innovation/Efficiency</w:t>
            </w:r>
          </w:p>
          <w:p w14:paraId="5ADC3A22" w14:textId="77777777" w:rsidR="00B31A9B" w:rsidRPr="00B31A9B" w:rsidRDefault="001A2AC6">
            <w:pPr>
              <w:spacing w:line="480" w:lineRule="auto"/>
              <w:rPr>
                <w:sz w:val="20"/>
                <w:szCs w:val="20"/>
              </w:rPr>
            </w:pPr>
            <w:sdt>
              <w:sdtPr>
                <w:rPr>
                  <w:sz w:val="20"/>
                  <w:szCs w:val="20"/>
                </w:rPr>
                <w:id w:val="1690793655"/>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Supply/Demand</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hideMark/>
          </w:tcPr>
          <w:p w14:paraId="4DAF1ECA" w14:textId="77777777" w:rsidR="00C7479B" w:rsidRDefault="00C7479B">
            <w:pPr>
              <w:spacing w:line="312" w:lineRule="auto"/>
              <w:rPr>
                <w:b/>
                <w:bCs/>
                <w:sz w:val="20"/>
                <w:szCs w:val="20"/>
              </w:rPr>
            </w:pPr>
            <w:r>
              <w:rPr>
                <w:b/>
                <w:bCs/>
                <w:sz w:val="20"/>
                <w:szCs w:val="20"/>
              </w:rPr>
              <w:t xml:space="preserve">Activity #2: </w:t>
            </w:r>
            <w:r w:rsidR="00B31A9B" w:rsidRPr="00B31A9B">
              <w:rPr>
                <w:b/>
                <w:bCs/>
                <w:sz w:val="20"/>
                <w:szCs w:val="20"/>
              </w:rPr>
              <w:t xml:space="preserve">Pathways to Partnerships: </w:t>
            </w:r>
            <w:r>
              <w:rPr>
                <w:b/>
                <w:bCs/>
                <w:sz w:val="20"/>
                <w:szCs w:val="20"/>
              </w:rPr>
              <w:t>Statewide collaboration among COEs, pathway programs and public/private partnerships.</w:t>
            </w:r>
            <w:r w:rsidRPr="00B31A9B">
              <w:rPr>
                <w:b/>
                <w:bCs/>
                <w:sz w:val="20"/>
                <w:szCs w:val="20"/>
              </w:rPr>
              <w:t xml:space="preserve"> Collaboration</w:t>
            </w:r>
            <w:r w:rsidR="00B31A9B" w:rsidRPr="00B31A9B">
              <w:rPr>
                <w:b/>
                <w:bCs/>
                <w:sz w:val="20"/>
                <w:szCs w:val="20"/>
              </w:rPr>
              <w:t xml:space="preserve"> Among Centers, Pathway Programs, and Public/Private Partnerships</w:t>
            </w:r>
            <w:r>
              <w:rPr>
                <w:b/>
                <w:bCs/>
                <w:sz w:val="20"/>
                <w:szCs w:val="20"/>
              </w:rPr>
              <w:t>.</w:t>
            </w:r>
          </w:p>
          <w:p w14:paraId="523D0F90" w14:textId="77777777" w:rsidR="00C7479B" w:rsidRDefault="00B31A9B" w:rsidP="00DA286D">
            <w:pPr>
              <w:rPr>
                <w:sz w:val="20"/>
                <w:szCs w:val="20"/>
              </w:rPr>
            </w:pPr>
            <w:r w:rsidRPr="00B31A9B">
              <w:rPr>
                <w:sz w:val="20"/>
                <w:szCs w:val="20"/>
              </w:rPr>
              <w:t xml:space="preserve">The Center directors and staff will continue to hold </w:t>
            </w:r>
            <w:r w:rsidR="00C7479B">
              <w:rPr>
                <w:sz w:val="20"/>
                <w:szCs w:val="20"/>
              </w:rPr>
              <w:t>joints summits, conferences, and training workshops that support the interdisciplinary of the Centers work done across the state in business, communication, safety and health care, social and behavioral sciences, public services and natural sciences and natural resources including climate change.</w:t>
            </w:r>
            <w:r w:rsidR="005374A7">
              <w:rPr>
                <w:sz w:val="20"/>
                <w:szCs w:val="20"/>
              </w:rPr>
              <w:t xml:space="preserve">  Education/training will address the challenges of education adapting and addressing the changing dynamics from the pandemic, creating changing workforce needs and expectations.   Develop curriculum/courses that could be implemented within the </w:t>
            </w:r>
            <w:proofErr w:type="gramStart"/>
            <w:r w:rsidR="005374A7">
              <w:rPr>
                <w:sz w:val="20"/>
                <w:szCs w:val="20"/>
              </w:rPr>
              <w:t>all hazard</w:t>
            </w:r>
            <w:proofErr w:type="gramEnd"/>
            <w:r w:rsidR="005374A7">
              <w:rPr>
                <w:sz w:val="20"/>
                <w:szCs w:val="20"/>
              </w:rPr>
              <w:t xml:space="preserve"> EM Degree Programs.  Possible outcomes:  educate up to 45 professionals per session and develop best practices/curriculum and training models. </w:t>
            </w:r>
          </w:p>
          <w:p w14:paraId="0B8ADB89" w14:textId="77777777" w:rsidR="00C7479B" w:rsidRDefault="00C7479B">
            <w:pPr>
              <w:spacing w:line="312" w:lineRule="auto"/>
              <w:rPr>
                <w:sz w:val="20"/>
                <w:szCs w:val="20"/>
              </w:rPr>
            </w:pPr>
          </w:p>
          <w:p w14:paraId="6914D089" w14:textId="77777777" w:rsidR="00C7479B" w:rsidRDefault="00C7479B">
            <w:pPr>
              <w:spacing w:line="312" w:lineRule="auto"/>
              <w:rPr>
                <w:sz w:val="20"/>
                <w:szCs w:val="20"/>
              </w:rPr>
            </w:pPr>
          </w:p>
          <w:p w14:paraId="5E9119B2" w14:textId="77777777" w:rsidR="00B31A9B" w:rsidRPr="00B31A9B" w:rsidRDefault="00C7479B" w:rsidP="008142B7">
            <w:pPr>
              <w:spacing w:line="312" w:lineRule="auto"/>
              <w:rPr>
                <w:sz w:val="20"/>
                <w:szCs w:val="20"/>
              </w:rPr>
            </w:pPr>
            <w:r>
              <w:rPr>
                <w:sz w:val="20"/>
                <w:szCs w:val="20"/>
              </w:rPr>
              <w:t xml:space="preserve">  </w:t>
            </w:r>
          </w:p>
        </w:tc>
      </w:tr>
      <w:tr w:rsidR="005374A7" w:rsidRPr="00B31A9B" w14:paraId="3AB2F31D"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D9D9D9"/>
            <w:tcMar>
              <w:top w:w="115" w:type="dxa"/>
              <w:left w:w="115" w:type="dxa"/>
              <w:bottom w:w="115" w:type="dxa"/>
              <w:right w:w="115" w:type="dxa"/>
            </w:tcMar>
            <w:hideMark/>
          </w:tcPr>
          <w:p w14:paraId="5C8DB7DD" w14:textId="77777777" w:rsidR="005374A7" w:rsidRPr="00B31A9B" w:rsidRDefault="005374A7" w:rsidP="005374A7">
            <w:pPr>
              <w:spacing w:line="312" w:lineRule="auto"/>
              <w:jc w:val="center"/>
              <w:rPr>
                <w:b/>
                <w:bCs/>
                <w:sz w:val="20"/>
                <w:szCs w:val="20"/>
              </w:rPr>
            </w:pPr>
            <w:r w:rsidRPr="00B31A9B">
              <w:rPr>
                <w:b/>
                <w:bCs/>
                <w:color w:val="000000"/>
                <w:sz w:val="20"/>
                <w:szCs w:val="20"/>
              </w:rPr>
              <w:t>Funding Sources %</w:t>
            </w:r>
          </w:p>
        </w:tc>
        <w:tc>
          <w:tcPr>
            <w:tcW w:w="6245" w:type="dxa"/>
            <w:tcBorders>
              <w:top w:val="nil"/>
              <w:left w:val="nil"/>
              <w:bottom w:val="single" w:sz="8" w:space="0" w:color="auto"/>
              <w:right w:val="single" w:sz="8" w:space="0" w:color="auto"/>
            </w:tcBorders>
            <w:shd w:val="clear" w:color="auto" w:fill="D9D9D9"/>
            <w:tcMar>
              <w:top w:w="115" w:type="dxa"/>
              <w:left w:w="115" w:type="dxa"/>
              <w:bottom w:w="115" w:type="dxa"/>
              <w:right w:w="115" w:type="dxa"/>
            </w:tcMar>
            <w:hideMark/>
          </w:tcPr>
          <w:p w14:paraId="43D37021" w14:textId="77777777" w:rsidR="005374A7" w:rsidRPr="00B31A9B" w:rsidRDefault="005374A7" w:rsidP="005374A7">
            <w:pPr>
              <w:spacing w:line="312" w:lineRule="auto"/>
              <w:jc w:val="center"/>
              <w:rPr>
                <w:b/>
                <w:bCs/>
                <w:sz w:val="20"/>
                <w:szCs w:val="20"/>
              </w:rPr>
            </w:pPr>
            <w:r w:rsidRPr="00B31A9B">
              <w:rPr>
                <w:b/>
                <w:bCs/>
                <w:color w:val="000000"/>
                <w:sz w:val="20"/>
                <w:szCs w:val="20"/>
              </w:rPr>
              <w:t>Purpose</w:t>
            </w:r>
          </w:p>
        </w:tc>
        <w:tc>
          <w:tcPr>
            <w:tcW w:w="5977" w:type="dxa"/>
            <w:tcBorders>
              <w:top w:val="nil"/>
              <w:left w:val="nil"/>
              <w:bottom w:val="single" w:sz="8" w:space="0" w:color="auto"/>
              <w:right w:val="single" w:sz="18" w:space="0" w:color="auto"/>
            </w:tcBorders>
            <w:shd w:val="clear" w:color="auto" w:fill="D9D9D9"/>
            <w:tcMar>
              <w:top w:w="115" w:type="dxa"/>
              <w:left w:w="115" w:type="dxa"/>
              <w:bottom w:w="115" w:type="dxa"/>
              <w:right w:w="115" w:type="dxa"/>
            </w:tcMar>
            <w:hideMark/>
          </w:tcPr>
          <w:p w14:paraId="21816979" w14:textId="77777777" w:rsidR="005374A7" w:rsidRDefault="005374A7" w:rsidP="005374A7">
            <w:pPr>
              <w:spacing w:line="312" w:lineRule="auto"/>
              <w:jc w:val="center"/>
              <w:rPr>
                <w:b/>
                <w:bCs/>
                <w:color w:val="000000"/>
                <w:sz w:val="20"/>
                <w:szCs w:val="20"/>
              </w:rPr>
            </w:pPr>
            <w:r>
              <w:rPr>
                <w:b/>
                <w:bCs/>
                <w:color w:val="000000"/>
                <w:sz w:val="20"/>
                <w:szCs w:val="20"/>
              </w:rPr>
              <w:t xml:space="preserve">Projected Outcomes, Work Products, Completion Date </w:t>
            </w:r>
          </w:p>
          <w:p w14:paraId="7CB8055E" w14:textId="77777777" w:rsidR="00581B61" w:rsidRPr="00B31A9B" w:rsidRDefault="00581B61" w:rsidP="005374A7">
            <w:pPr>
              <w:spacing w:line="312" w:lineRule="auto"/>
              <w:jc w:val="center"/>
              <w:rPr>
                <w:b/>
                <w:bCs/>
                <w:sz w:val="20"/>
                <w:szCs w:val="20"/>
              </w:rPr>
            </w:pPr>
            <w:r>
              <w:rPr>
                <w:b/>
                <w:bCs/>
                <w:color w:val="000000"/>
                <w:sz w:val="20"/>
                <w:szCs w:val="20"/>
              </w:rPr>
              <w:t>Areas of collaboration:</w:t>
            </w:r>
          </w:p>
        </w:tc>
      </w:tr>
      <w:tr w:rsidR="005374A7" w:rsidRPr="00B31A9B" w14:paraId="071B2094" w14:textId="77777777" w:rsidTr="00B31A9B">
        <w:trPr>
          <w:trHeight w:val="351"/>
        </w:trPr>
        <w:tc>
          <w:tcPr>
            <w:tcW w:w="2448" w:type="dxa"/>
            <w:tcBorders>
              <w:top w:val="nil"/>
              <w:left w:val="single" w:sz="18" w:space="0" w:color="auto"/>
              <w:bottom w:val="single" w:sz="18" w:space="0" w:color="auto"/>
              <w:right w:val="single" w:sz="8" w:space="0" w:color="auto"/>
            </w:tcBorders>
            <w:tcMar>
              <w:top w:w="115" w:type="dxa"/>
              <w:left w:w="115" w:type="dxa"/>
              <w:bottom w:w="115" w:type="dxa"/>
              <w:right w:w="115" w:type="dxa"/>
            </w:tcMar>
          </w:tcPr>
          <w:p w14:paraId="7E25850F" w14:textId="77777777" w:rsidR="005374A7" w:rsidRPr="00B31A9B" w:rsidRDefault="005374A7" w:rsidP="005374A7">
            <w:pPr>
              <w:spacing w:line="312" w:lineRule="auto"/>
              <w:rPr>
                <w:sz w:val="20"/>
                <w:szCs w:val="20"/>
              </w:rPr>
            </w:pPr>
            <w:r w:rsidRPr="00B31A9B">
              <w:rPr>
                <w:sz w:val="20"/>
                <w:szCs w:val="20"/>
              </w:rPr>
              <w:t xml:space="preserve">All </w:t>
            </w:r>
            <w:r w:rsidR="00581B61">
              <w:rPr>
                <w:sz w:val="20"/>
                <w:szCs w:val="20"/>
              </w:rPr>
              <w:t>CO</w:t>
            </w:r>
            <w:r w:rsidRPr="00B31A9B">
              <w:rPr>
                <w:sz w:val="20"/>
                <w:szCs w:val="20"/>
              </w:rPr>
              <w:t xml:space="preserve">Es will split the funding sources evenly. </w:t>
            </w:r>
          </w:p>
          <w:p w14:paraId="006E9560" w14:textId="77777777" w:rsidR="005374A7" w:rsidRPr="00B31A9B" w:rsidRDefault="005374A7" w:rsidP="00525B7E">
            <w:pPr>
              <w:spacing w:line="312" w:lineRule="auto"/>
              <w:rPr>
                <w:sz w:val="20"/>
                <w:szCs w:val="20"/>
              </w:rPr>
            </w:pPr>
          </w:p>
        </w:tc>
        <w:tc>
          <w:tcPr>
            <w:tcW w:w="6245" w:type="dxa"/>
            <w:tcBorders>
              <w:top w:val="nil"/>
              <w:left w:val="nil"/>
              <w:bottom w:val="single" w:sz="18" w:space="0" w:color="auto"/>
              <w:right w:val="single" w:sz="8" w:space="0" w:color="auto"/>
            </w:tcBorders>
            <w:tcMar>
              <w:top w:w="115" w:type="dxa"/>
              <w:left w:w="115" w:type="dxa"/>
              <w:bottom w:w="115" w:type="dxa"/>
              <w:right w:w="115" w:type="dxa"/>
            </w:tcMar>
          </w:tcPr>
          <w:p w14:paraId="2D654058" w14:textId="77777777" w:rsidR="005374A7" w:rsidRPr="00B31A9B" w:rsidRDefault="005374A7" w:rsidP="005374A7">
            <w:pPr>
              <w:rPr>
                <w:color w:val="0E101A"/>
                <w:sz w:val="20"/>
                <w:szCs w:val="20"/>
              </w:rPr>
            </w:pPr>
            <w:r w:rsidRPr="00B31A9B">
              <w:rPr>
                <w:color w:val="0E101A"/>
                <w:sz w:val="20"/>
                <w:szCs w:val="20"/>
              </w:rPr>
              <w:t>Collaborate with Industry and Education in multiple sectors to develop and deliver information and training opportunities that will:</w:t>
            </w:r>
          </w:p>
          <w:p w14:paraId="206239DA" w14:textId="77777777" w:rsidR="005374A7" w:rsidRPr="00B31A9B" w:rsidRDefault="005374A7" w:rsidP="005374A7">
            <w:pPr>
              <w:numPr>
                <w:ilvl w:val="0"/>
                <w:numId w:val="3"/>
              </w:numPr>
              <w:rPr>
                <w:rFonts w:eastAsia="Times New Roman"/>
                <w:color w:val="0E101A"/>
                <w:sz w:val="20"/>
                <w:szCs w:val="20"/>
              </w:rPr>
            </w:pPr>
            <w:r w:rsidRPr="00B31A9B">
              <w:rPr>
                <w:rFonts w:eastAsia="Times New Roman"/>
                <w:color w:val="0E101A"/>
                <w:sz w:val="20"/>
                <w:szCs w:val="20"/>
              </w:rPr>
              <w:t>Build continuity and resiliency to address impacts of climate change on the health, resources, economics, and state’s communities.</w:t>
            </w:r>
          </w:p>
          <w:p w14:paraId="735222EB" w14:textId="77777777" w:rsidR="005374A7" w:rsidRPr="00B31A9B" w:rsidRDefault="00525B7E" w:rsidP="005374A7">
            <w:pPr>
              <w:numPr>
                <w:ilvl w:val="0"/>
                <w:numId w:val="3"/>
              </w:numPr>
              <w:rPr>
                <w:rFonts w:eastAsia="Times New Roman"/>
                <w:color w:val="0E101A"/>
                <w:sz w:val="20"/>
                <w:szCs w:val="20"/>
              </w:rPr>
            </w:pPr>
            <w:r>
              <w:rPr>
                <w:rFonts w:eastAsia="Times New Roman"/>
                <w:color w:val="0E101A"/>
                <w:sz w:val="20"/>
                <w:szCs w:val="20"/>
              </w:rPr>
              <w:t>R</w:t>
            </w:r>
            <w:r w:rsidR="005374A7" w:rsidRPr="00B31A9B">
              <w:rPr>
                <w:rFonts w:eastAsia="Times New Roman"/>
                <w:color w:val="0E101A"/>
                <w:sz w:val="20"/>
                <w:szCs w:val="20"/>
              </w:rPr>
              <w:t>ecruit underrepresented groups to enter the all-hazard emergency management pathway programs.</w:t>
            </w:r>
          </w:p>
          <w:p w14:paraId="311274D7" w14:textId="77777777" w:rsidR="005374A7" w:rsidRPr="00B31A9B" w:rsidRDefault="005374A7" w:rsidP="005374A7">
            <w:pPr>
              <w:numPr>
                <w:ilvl w:val="0"/>
                <w:numId w:val="3"/>
              </w:numPr>
              <w:rPr>
                <w:rFonts w:eastAsia="Times New Roman"/>
                <w:color w:val="0E101A"/>
                <w:sz w:val="20"/>
                <w:szCs w:val="20"/>
              </w:rPr>
            </w:pPr>
            <w:r w:rsidRPr="00B31A9B">
              <w:rPr>
                <w:rFonts w:eastAsia="Times New Roman"/>
                <w:color w:val="0E101A"/>
                <w:sz w:val="20"/>
                <w:szCs w:val="20"/>
              </w:rPr>
              <w:t>Provide opportunities for attendees to work together for community benefit.</w:t>
            </w:r>
          </w:p>
          <w:p w14:paraId="2C1927B6" w14:textId="77777777" w:rsidR="005374A7" w:rsidRPr="00B31A9B" w:rsidRDefault="005374A7" w:rsidP="005374A7">
            <w:pPr>
              <w:numPr>
                <w:ilvl w:val="0"/>
                <w:numId w:val="3"/>
              </w:numPr>
              <w:rPr>
                <w:rFonts w:eastAsia="Times New Roman"/>
                <w:color w:val="0E101A"/>
                <w:sz w:val="20"/>
                <w:szCs w:val="20"/>
              </w:rPr>
            </w:pPr>
            <w:r w:rsidRPr="00B31A9B">
              <w:rPr>
                <w:rFonts w:eastAsia="Times New Roman"/>
                <w:color w:val="0E101A"/>
                <w:sz w:val="20"/>
                <w:szCs w:val="20"/>
              </w:rPr>
              <w:lastRenderedPageBreak/>
              <w:t xml:space="preserve">Allow the </w:t>
            </w:r>
            <w:r w:rsidR="00525B7E">
              <w:rPr>
                <w:rFonts w:eastAsia="Times New Roman"/>
                <w:color w:val="0E101A"/>
                <w:sz w:val="20"/>
                <w:szCs w:val="20"/>
              </w:rPr>
              <w:t>stakeholders</w:t>
            </w:r>
            <w:r w:rsidRPr="00B31A9B">
              <w:rPr>
                <w:rFonts w:eastAsia="Times New Roman"/>
                <w:color w:val="0E101A"/>
                <w:sz w:val="20"/>
                <w:szCs w:val="20"/>
              </w:rPr>
              <w:t xml:space="preserve"> to bring their concerns and ideas for possible solutions.</w:t>
            </w:r>
          </w:p>
          <w:p w14:paraId="5C152F28" w14:textId="77777777" w:rsidR="005374A7" w:rsidRDefault="005374A7" w:rsidP="005374A7">
            <w:pPr>
              <w:numPr>
                <w:ilvl w:val="0"/>
                <w:numId w:val="3"/>
              </w:numPr>
              <w:rPr>
                <w:rFonts w:eastAsia="Times New Roman"/>
                <w:color w:val="0E101A"/>
                <w:sz w:val="20"/>
                <w:szCs w:val="20"/>
              </w:rPr>
            </w:pPr>
            <w:r w:rsidRPr="00B31A9B">
              <w:rPr>
                <w:rFonts w:eastAsia="Times New Roman"/>
                <w:color w:val="0E101A"/>
                <w:sz w:val="20"/>
                <w:szCs w:val="20"/>
              </w:rPr>
              <w:t>Identify challenges, Issues, and Impacts from Industry experts.</w:t>
            </w:r>
          </w:p>
          <w:p w14:paraId="33BEFAA8" w14:textId="77777777" w:rsidR="00A50ECE" w:rsidRPr="00B31A9B" w:rsidRDefault="00A50ECE" w:rsidP="005374A7">
            <w:pPr>
              <w:numPr>
                <w:ilvl w:val="0"/>
                <w:numId w:val="3"/>
              </w:numPr>
              <w:rPr>
                <w:rFonts w:eastAsia="Times New Roman"/>
                <w:color w:val="0E101A"/>
                <w:sz w:val="20"/>
                <w:szCs w:val="20"/>
              </w:rPr>
            </w:pPr>
            <w:r w:rsidRPr="00326E32">
              <w:rPr>
                <w:rFonts w:eastAsia="Times New Roman"/>
                <w:sz w:val="20"/>
                <w:szCs w:val="20"/>
              </w:rPr>
              <w:t>Evolving professions-trends are the major resilience issue including global trends, high impact events, climate risks that are emerging and will impact all of the CTC pathway programs across all industries/sectors: cyberattacks, natural disasters, and economic uncertainly.</w:t>
            </w:r>
          </w:p>
          <w:p w14:paraId="40A2D2CD" w14:textId="77777777" w:rsidR="008142B7" w:rsidRDefault="008142B7" w:rsidP="005374A7">
            <w:pPr>
              <w:outlineLvl w:val="0"/>
            </w:pPr>
          </w:p>
          <w:p w14:paraId="417DDF29" w14:textId="77777777" w:rsidR="008142B7" w:rsidRDefault="008142B7" w:rsidP="005374A7">
            <w:pPr>
              <w:outlineLvl w:val="0"/>
            </w:pPr>
          </w:p>
          <w:p w14:paraId="14E6F5D3" w14:textId="77777777" w:rsidR="008142B7" w:rsidRDefault="008142B7" w:rsidP="005374A7">
            <w:pPr>
              <w:outlineLvl w:val="0"/>
            </w:pPr>
          </w:p>
          <w:p w14:paraId="7B714F87" w14:textId="77777777" w:rsidR="008142B7" w:rsidRDefault="008142B7" w:rsidP="005374A7">
            <w:pPr>
              <w:outlineLvl w:val="0"/>
            </w:pPr>
          </w:p>
          <w:p w14:paraId="4504F0DE" w14:textId="77777777" w:rsidR="008142B7" w:rsidRDefault="008142B7" w:rsidP="005374A7">
            <w:pPr>
              <w:outlineLvl w:val="0"/>
            </w:pPr>
          </w:p>
          <w:p w14:paraId="6999542E" w14:textId="77777777" w:rsidR="008142B7" w:rsidRDefault="008142B7" w:rsidP="005374A7">
            <w:pPr>
              <w:outlineLvl w:val="0"/>
            </w:pPr>
          </w:p>
          <w:p w14:paraId="3A3F5941" w14:textId="77777777" w:rsidR="008142B7" w:rsidRDefault="008142B7" w:rsidP="005374A7">
            <w:pPr>
              <w:outlineLvl w:val="0"/>
            </w:pPr>
          </w:p>
          <w:p w14:paraId="2B4FE5B6" w14:textId="77777777" w:rsidR="008142B7" w:rsidRDefault="008142B7" w:rsidP="005374A7">
            <w:pPr>
              <w:outlineLvl w:val="0"/>
            </w:pPr>
          </w:p>
          <w:p w14:paraId="332C3B74" w14:textId="77777777" w:rsidR="005374A7" w:rsidRDefault="005374A7" w:rsidP="005374A7">
            <w:pPr>
              <w:pStyle w:val="m8752614383209596710msolistparagraph"/>
            </w:pPr>
            <w:r>
              <w:rPr>
                <w:rFonts w:ascii="Times New Roman" w:hAnsi="Times New Roman" w:cs="Times New Roman"/>
                <w:sz w:val="24"/>
                <w:szCs w:val="24"/>
              </w:rPr>
              <w:t> </w:t>
            </w:r>
          </w:p>
          <w:p w14:paraId="42F19DCB" w14:textId="77777777" w:rsidR="005374A7" w:rsidRPr="00B31A9B" w:rsidRDefault="005374A7" w:rsidP="005374A7">
            <w:pPr>
              <w:spacing w:line="312" w:lineRule="auto"/>
              <w:rPr>
                <w:sz w:val="20"/>
                <w:szCs w:val="20"/>
              </w:rPr>
            </w:pPr>
            <w:r>
              <w:rPr>
                <w:rFonts w:eastAsia="Times New Roman"/>
              </w:rPr>
              <w:br w:type="page"/>
            </w:r>
          </w:p>
        </w:tc>
        <w:tc>
          <w:tcPr>
            <w:tcW w:w="5977" w:type="dxa"/>
            <w:tcBorders>
              <w:top w:val="nil"/>
              <w:left w:val="nil"/>
              <w:bottom w:val="single" w:sz="18" w:space="0" w:color="auto"/>
              <w:right w:val="single" w:sz="18" w:space="0" w:color="auto"/>
            </w:tcBorders>
            <w:tcMar>
              <w:top w:w="115" w:type="dxa"/>
              <w:left w:w="115" w:type="dxa"/>
              <w:bottom w:w="115" w:type="dxa"/>
              <w:right w:w="115" w:type="dxa"/>
            </w:tcMar>
          </w:tcPr>
          <w:p w14:paraId="4A3F479E" w14:textId="77777777" w:rsidR="002855E4" w:rsidRDefault="002855E4" w:rsidP="00692FF2">
            <w:pPr>
              <w:pStyle w:val="ListParagraph"/>
              <w:numPr>
                <w:ilvl w:val="0"/>
                <w:numId w:val="25"/>
              </w:numPr>
              <w:spacing w:line="240" w:lineRule="auto"/>
              <w:rPr>
                <w:rFonts w:eastAsia="Times New Roman"/>
                <w:sz w:val="20"/>
                <w:szCs w:val="20"/>
              </w:rPr>
            </w:pPr>
            <w:r>
              <w:rPr>
                <w:rFonts w:eastAsia="Times New Roman"/>
                <w:sz w:val="20"/>
                <w:szCs w:val="20"/>
              </w:rPr>
              <w:lastRenderedPageBreak/>
              <w:t xml:space="preserve">Working with all 12 </w:t>
            </w:r>
            <w:r w:rsidR="00692FF2">
              <w:rPr>
                <w:rFonts w:eastAsia="Times New Roman"/>
                <w:sz w:val="20"/>
                <w:szCs w:val="20"/>
              </w:rPr>
              <w:t xml:space="preserve">COEs the marketing and outreach committee will develop a shared strategy for the year to information communities statewide about the COEs services. </w:t>
            </w:r>
            <w:r>
              <w:rPr>
                <w:rFonts w:eastAsia="Times New Roman"/>
                <w:sz w:val="20"/>
                <w:szCs w:val="20"/>
              </w:rPr>
              <w:t xml:space="preserve"> </w:t>
            </w:r>
          </w:p>
          <w:p w14:paraId="78AB4E30" w14:textId="77777777" w:rsidR="005374A7" w:rsidRDefault="00581B61" w:rsidP="00692FF2">
            <w:pPr>
              <w:pStyle w:val="ListParagraph"/>
              <w:numPr>
                <w:ilvl w:val="0"/>
                <w:numId w:val="25"/>
              </w:numPr>
              <w:spacing w:line="240" w:lineRule="auto"/>
              <w:rPr>
                <w:rFonts w:eastAsia="Times New Roman"/>
                <w:sz w:val="20"/>
                <w:szCs w:val="20"/>
              </w:rPr>
            </w:pPr>
            <w:r>
              <w:rPr>
                <w:rFonts w:eastAsia="Times New Roman"/>
                <w:sz w:val="20"/>
                <w:szCs w:val="20"/>
              </w:rPr>
              <w:t xml:space="preserve">Energy Innovation and Clean-Bio Energy:  energy storage technologies such as batteries, hydroelectric storage, </w:t>
            </w:r>
            <w:r w:rsidR="00216C36">
              <w:rPr>
                <w:rFonts w:eastAsia="Times New Roman"/>
                <w:sz w:val="20"/>
                <w:szCs w:val="20"/>
              </w:rPr>
              <w:t>electrification</w:t>
            </w:r>
            <w:r>
              <w:rPr>
                <w:rFonts w:eastAsia="Times New Roman"/>
                <w:sz w:val="20"/>
                <w:szCs w:val="20"/>
              </w:rPr>
              <w:t xml:space="preserve"> of the grid, infrastructure, new technologies and business opportunities and fusion and other clean energy opportunities.  Hosting </w:t>
            </w:r>
            <w:r w:rsidR="00216C36">
              <w:rPr>
                <w:rFonts w:eastAsia="Times New Roman"/>
                <w:sz w:val="20"/>
                <w:szCs w:val="20"/>
              </w:rPr>
              <w:t>would be at Moses Lake early fall or spring 2024.  AWB would be a partner in a number of collaborations.</w:t>
            </w:r>
          </w:p>
          <w:p w14:paraId="5EE386D0" w14:textId="77777777" w:rsidR="0087025F" w:rsidRPr="00326E32" w:rsidRDefault="00216C36" w:rsidP="00692FF2">
            <w:pPr>
              <w:pStyle w:val="ListParagraph"/>
              <w:numPr>
                <w:ilvl w:val="0"/>
                <w:numId w:val="25"/>
              </w:numPr>
              <w:spacing w:line="240" w:lineRule="auto"/>
              <w:rPr>
                <w:sz w:val="20"/>
                <w:szCs w:val="20"/>
              </w:rPr>
            </w:pPr>
            <w:r w:rsidRPr="00326E32">
              <w:rPr>
                <w:rFonts w:eastAsia="Times New Roman"/>
                <w:sz w:val="20"/>
                <w:szCs w:val="20"/>
              </w:rPr>
              <w:lastRenderedPageBreak/>
              <w:t xml:space="preserve">Pharma “Are We Ready” </w:t>
            </w:r>
            <w:r w:rsidR="0087025F" w:rsidRPr="00326E32">
              <w:rPr>
                <w:sz w:val="20"/>
                <w:szCs w:val="20"/>
              </w:rPr>
              <w:t xml:space="preserve">proposed Supply Chain conference </w:t>
            </w:r>
            <w:r w:rsidR="00F754B1">
              <w:rPr>
                <w:sz w:val="20"/>
                <w:szCs w:val="20"/>
              </w:rPr>
              <w:t>will be in fall 2023</w:t>
            </w:r>
            <w:r w:rsidR="003E41A4" w:rsidRPr="00326E32">
              <w:rPr>
                <w:sz w:val="20"/>
                <w:szCs w:val="20"/>
              </w:rPr>
              <w:t>.</w:t>
            </w:r>
            <w:r w:rsidR="002C336C" w:rsidRPr="00326E32">
              <w:rPr>
                <w:sz w:val="20"/>
                <w:szCs w:val="20"/>
              </w:rPr>
              <w:t xml:space="preserve">  Work group </w:t>
            </w:r>
            <w:r w:rsidR="00F754B1">
              <w:rPr>
                <w:sz w:val="20"/>
                <w:szCs w:val="20"/>
              </w:rPr>
              <w:t>is</w:t>
            </w:r>
            <w:r w:rsidR="002C336C" w:rsidRPr="00326E32">
              <w:rPr>
                <w:sz w:val="20"/>
                <w:szCs w:val="20"/>
              </w:rPr>
              <w:t xml:space="preserve"> established.</w:t>
            </w:r>
            <w:r w:rsidR="003E41A4" w:rsidRPr="00326E32">
              <w:rPr>
                <w:sz w:val="20"/>
                <w:szCs w:val="20"/>
              </w:rPr>
              <w:t xml:space="preserve">  </w:t>
            </w:r>
            <w:r w:rsidR="002C336C" w:rsidRPr="00326E32">
              <w:rPr>
                <w:sz w:val="20"/>
                <w:szCs w:val="20"/>
              </w:rPr>
              <w:t>Participant’s</w:t>
            </w:r>
            <w:r w:rsidR="003E41A4" w:rsidRPr="00326E32">
              <w:rPr>
                <w:sz w:val="20"/>
                <w:szCs w:val="20"/>
              </w:rPr>
              <w:t xml:space="preserve"> 200 – 300 faculty, industry, students.</w:t>
            </w:r>
            <w:r w:rsidR="002C336C" w:rsidRPr="00326E32">
              <w:rPr>
                <w:sz w:val="20"/>
                <w:szCs w:val="20"/>
              </w:rPr>
              <w:t xml:space="preserve"> </w:t>
            </w:r>
            <w:r w:rsidR="003E41A4" w:rsidRPr="00326E32">
              <w:rPr>
                <w:sz w:val="20"/>
                <w:szCs w:val="20"/>
              </w:rPr>
              <w:t xml:space="preserve"> </w:t>
            </w:r>
            <w:r w:rsidR="0087025F" w:rsidRPr="00326E32">
              <w:rPr>
                <w:sz w:val="20"/>
                <w:szCs w:val="20"/>
              </w:rPr>
              <w:t xml:space="preserve">  Purpose Statement:</w:t>
            </w:r>
          </w:p>
          <w:p w14:paraId="59B7D1AC" w14:textId="77777777" w:rsidR="003E41A4" w:rsidRPr="00326E32" w:rsidRDefault="00F754B1" w:rsidP="00F754B1">
            <w:pPr>
              <w:pStyle w:val="ListParagraph"/>
              <w:numPr>
                <w:ilvl w:val="0"/>
                <w:numId w:val="40"/>
              </w:numPr>
              <w:spacing w:line="240" w:lineRule="auto"/>
              <w:rPr>
                <w:sz w:val="20"/>
                <w:szCs w:val="20"/>
              </w:rPr>
            </w:pPr>
            <w:r>
              <w:rPr>
                <w:sz w:val="20"/>
                <w:szCs w:val="20"/>
              </w:rPr>
              <w:t xml:space="preserve">Purpose:  </w:t>
            </w:r>
            <w:r w:rsidR="0087025F" w:rsidRPr="00326E32">
              <w:rPr>
                <w:sz w:val="20"/>
                <w:szCs w:val="20"/>
              </w:rPr>
              <w:t xml:space="preserve"> bring together stakeholders to discuss strategies and pathways to address emergency situations where access to medications, drug supplies, and healthcare is impacted due to a natural </w:t>
            </w:r>
            <w:r>
              <w:rPr>
                <w:sz w:val="20"/>
                <w:szCs w:val="20"/>
              </w:rPr>
              <w:t xml:space="preserve">or man-made disaster situation; </w:t>
            </w:r>
            <w:r w:rsidR="0087025F" w:rsidRPr="00326E32">
              <w:rPr>
                <w:sz w:val="20"/>
                <w:szCs w:val="20"/>
              </w:rPr>
              <w:t>establish a way to maintain the supply chain integrity for healthcare access, especially to patients living in rural parts of WA where an emergency si</w:t>
            </w:r>
            <w:r>
              <w:rPr>
                <w:sz w:val="20"/>
                <w:szCs w:val="20"/>
              </w:rPr>
              <w:t xml:space="preserve">tuation may impact them further and </w:t>
            </w:r>
            <w:r w:rsidR="0087025F" w:rsidRPr="00326E32">
              <w:rPr>
                <w:sz w:val="20"/>
                <w:szCs w:val="20"/>
              </w:rPr>
              <w:t xml:space="preserve"> </w:t>
            </w:r>
            <w:r>
              <w:rPr>
                <w:sz w:val="20"/>
                <w:szCs w:val="20"/>
              </w:rPr>
              <w:t>share ideas/</w:t>
            </w:r>
            <w:r w:rsidR="0087025F" w:rsidRPr="00326E32">
              <w:rPr>
                <w:sz w:val="20"/>
                <w:szCs w:val="20"/>
              </w:rPr>
              <w:t xml:space="preserve">resources during </w:t>
            </w:r>
            <w:r>
              <w:rPr>
                <w:sz w:val="20"/>
                <w:szCs w:val="20"/>
              </w:rPr>
              <w:t xml:space="preserve">Summit to help establish and </w:t>
            </w:r>
            <w:r w:rsidR="0087025F" w:rsidRPr="00326E32">
              <w:rPr>
                <w:sz w:val="20"/>
                <w:szCs w:val="20"/>
              </w:rPr>
              <w:t>connect pharmacies to community resources to set up an emergency plan to maintain drug supply chain integrity.</w:t>
            </w:r>
            <w:r w:rsidR="003E41A4" w:rsidRPr="00326E32">
              <w:rPr>
                <w:sz w:val="20"/>
                <w:szCs w:val="20"/>
              </w:rPr>
              <w:t xml:space="preserve"> </w:t>
            </w:r>
          </w:p>
          <w:p w14:paraId="7BF393D7" w14:textId="77777777" w:rsidR="0087025F" w:rsidRPr="00326E32" w:rsidRDefault="003E41A4" w:rsidP="00F754B1">
            <w:pPr>
              <w:pStyle w:val="ListParagraph"/>
              <w:spacing w:line="240" w:lineRule="auto"/>
              <w:rPr>
                <w:sz w:val="20"/>
                <w:szCs w:val="20"/>
              </w:rPr>
            </w:pPr>
            <w:r w:rsidRPr="00326E32">
              <w:rPr>
                <w:sz w:val="20"/>
                <w:szCs w:val="20"/>
              </w:rPr>
              <w:t xml:space="preserve">Goals: </w:t>
            </w:r>
          </w:p>
          <w:p w14:paraId="4A7B8F93" w14:textId="77777777" w:rsidR="0087025F" w:rsidRPr="00326E32" w:rsidRDefault="0087025F" w:rsidP="00F754B1">
            <w:pPr>
              <w:pStyle w:val="ListParagraph"/>
              <w:numPr>
                <w:ilvl w:val="0"/>
                <w:numId w:val="31"/>
              </w:numPr>
              <w:spacing w:before="100" w:beforeAutospacing="1" w:after="100" w:afterAutospacing="1" w:line="240" w:lineRule="auto"/>
              <w:ind w:left="1080"/>
              <w:rPr>
                <w:rFonts w:eastAsia="Times New Roman"/>
                <w:sz w:val="20"/>
                <w:szCs w:val="20"/>
              </w:rPr>
            </w:pPr>
            <w:r w:rsidRPr="00326E32">
              <w:rPr>
                <w:rFonts w:eastAsia="Times New Roman"/>
                <w:sz w:val="20"/>
                <w:szCs w:val="20"/>
              </w:rPr>
              <w:t>Establish current resources for addressing drug supply chain issues</w:t>
            </w:r>
          </w:p>
          <w:p w14:paraId="013FC69C" w14:textId="77777777" w:rsidR="003E41A4" w:rsidRPr="00326E32" w:rsidRDefault="003E41A4" w:rsidP="00F754B1">
            <w:pPr>
              <w:pStyle w:val="ListParagraph"/>
              <w:numPr>
                <w:ilvl w:val="0"/>
                <w:numId w:val="31"/>
              </w:numPr>
              <w:spacing w:before="100" w:beforeAutospacing="1" w:after="100" w:afterAutospacing="1" w:line="240" w:lineRule="auto"/>
              <w:ind w:left="1080"/>
              <w:rPr>
                <w:rFonts w:eastAsia="Times New Roman"/>
                <w:sz w:val="20"/>
                <w:szCs w:val="20"/>
              </w:rPr>
            </w:pPr>
            <w:r w:rsidRPr="00326E32">
              <w:rPr>
                <w:rFonts w:eastAsia="Times New Roman"/>
                <w:sz w:val="20"/>
                <w:szCs w:val="20"/>
              </w:rPr>
              <w:t>Discuss how the supply chain may be compromised due to a natural or man-made disaster</w:t>
            </w:r>
          </w:p>
          <w:p w14:paraId="06B2F7BD" w14:textId="77777777" w:rsidR="003E41A4" w:rsidRPr="00326E32" w:rsidRDefault="003E41A4" w:rsidP="00F754B1">
            <w:pPr>
              <w:pStyle w:val="ListParagraph"/>
              <w:numPr>
                <w:ilvl w:val="0"/>
                <w:numId w:val="31"/>
              </w:numPr>
              <w:spacing w:before="100" w:beforeAutospacing="1" w:after="100" w:afterAutospacing="1" w:line="240" w:lineRule="auto"/>
              <w:ind w:left="1080"/>
              <w:rPr>
                <w:rFonts w:eastAsia="Times New Roman"/>
                <w:sz w:val="20"/>
                <w:szCs w:val="20"/>
              </w:rPr>
            </w:pPr>
            <w:r w:rsidRPr="00326E32">
              <w:rPr>
                <w:rFonts w:eastAsia="Times New Roman"/>
                <w:sz w:val="20"/>
                <w:szCs w:val="20"/>
              </w:rPr>
              <w:t>Have conversations between community partners and pharmacy groups</w:t>
            </w:r>
          </w:p>
          <w:p w14:paraId="1AD6AF75" w14:textId="77777777" w:rsidR="003E41A4" w:rsidRPr="00326E32" w:rsidRDefault="003E41A4" w:rsidP="00F754B1">
            <w:pPr>
              <w:pStyle w:val="ListParagraph"/>
              <w:numPr>
                <w:ilvl w:val="0"/>
                <w:numId w:val="31"/>
              </w:numPr>
              <w:spacing w:before="100" w:beforeAutospacing="1" w:after="100" w:afterAutospacing="1" w:line="240" w:lineRule="auto"/>
              <w:ind w:left="1080"/>
              <w:rPr>
                <w:rFonts w:eastAsia="Times New Roman"/>
                <w:sz w:val="20"/>
                <w:szCs w:val="20"/>
              </w:rPr>
            </w:pPr>
            <w:r w:rsidRPr="00326E32">
              <w:rPr>
                <w:rFonts w:eastAsia="Times New Roman"/>
                <w:sz w:val="20"/>
                <w:szCs w:val="20"/>
              </w:rPr>
              <w:t xml:space="preserve">Help pharmacies establish a plan or update their current plan(s) to address a compromise in the drug supply chain </w:t>
            </w:r>
            <w:r w:rsidRPr="00326E32">
              <w:rPr>
                <w:rFonts w:eastAsia="Times New Roman"/>
                <w:sz w:val="20"/>
                <w:szCs w:val="20"/>
              </w:rPr>
              <w:br w:type="page"/>
              <w:t>manufacturers</w:t>
            </w:r>
          </w:p>
          <w:p w14:paraId="3915D769" w14:textId="2038AC2E" w:rsidR="002C336C" w:rsidRPr="00326E32" w:rsidRDefault="0001489A" w:rsidP="00D7729C">
            <w:pPr>
              <w:pStyle w:val="ListParagraph"/>
              <w:numPr>
                <w:ilvl w:val="0"/>
                <w:numId w:val="25"/>
              </w:numPr>
              <w:spacing w:before="100" w:beforeAutospacing="1" w:after="100" w:afterAutospacing="1" w:line="240" w:lineRule="auto"/>
              <w:rPr>
                <w:rFonts w:eastAsia="Times New Roman"/>
                <w:sz w:val="20"/>
                <w:szCs w:val="20"/>
              </w:rPr>
            </w:pPr>
            <w:r>
              <w:rPr>
                <w:rFonts w:eastAsia="Times New Roman"/>
                <w:sz w:val="20"/>
                <w:szCs w:val="20"/>
              </w:rPr>
              <w:t xml:space="preserve">COEs discuss </w:t>
            </w:r>
            <w:r w:rsidR="00DE1BCB" w:rsidRPr="00326E32">
              <w:rPr>
                <w:rFonts w:eastAsia="Times New Roman"/>
                <w:sz w:val="20"/>
                <w:szCs w:val="20"/>
              </w:rPr>
              <w:t>w/programs</w:t>
            </w:r>
            <w:r>
              <w:rPr>
                <w:rFonts w:eastAsia="Times New Roman"/>
                <w:sz w:val="20"/>
                <w:szCs w:val="20"/>
              </w:rPr>
              <w:t xml:space="preserve"> and identify possible new/emerging </w:t>
            </w:r>
            <w:r w:rsidR="00DE1BCB" w:rsidRPr="00326E32">
              <w:rPr>
                <w:rFonts w:eastAsia="Times New Roman"/>
                <w:sz w:val="20"/>
                <w:szCs w:val="20"/>
              </w:rPr>
              <w:t>professions that will be needed. Outcome of ID new programs or curriculum gaps and needs. Ongoing.</w:t>
            </w:r>
          </w:p>
          <w:p w14:paraId="15F5A64F" w14:textId="77777777" w:rsidR="00B54D1C" w:rsidRDefault="00DE1BCB" w:rsidP="002855E4">
            <w:pPr>
              <w:pStyle w:val="ListParagraph"/>
              <w:numPr>
                <w:ilvl w:val="0"/>
                <w:numId w:val="25"/>
              </w:numPr>
              <w:spacing w:before="100" w:beforeAutospacing="1" w:after="100" w:afterAutospacing="1" w:line="240" w:lineRule="auto"/>
              <w:rPr>
                <w:sz w:val="20"/>
                <w:szCs w:val="20"/>
              </w:rPr>
            </w:pPr>
            <w:r w:rsidRPr="00326E32">
              <w:rPr>
                <w:rFonts w:eastAsia="Times New Roman"/>
                <w:sz w:val="20"/>
                <w:szCs w:val="20"/>
              </w:rPr>
              <w:t>COEs will discuss Future of Work:  AI as a future centerpiece.  Of all of the technologies available to enterprises that help automate key workforce processes COEs and SBCTC/colleges needs to optimize the way we get work done and how we think about the “talent pool” with 35-45% of that talent pool are non-employees.  Total talent intelligence is a gateway to understanding the totality of the future workforce and what skills, knowledge and abilities will be critical.  2024 timeline.</w:t>
            </w:r>
            <w:r w:rsidR="002855E4">
              <w:rPr>
                <w:sz w:val="20"/>
                <w:szCs w:val="20"/>
              </w:rPr>
              <w:t xml:space="preserve"> </w:t>
            </w:r>
          </w:p>
          <w:p w14:paraId="0BF9E7B0" w14:textId="77777777" w:rsidR="00B54D1C" w:rsidRDefault="00B54D1C" w:rsidP="00B54D1C">
            <w:pPr>
              <w:pStyle w:val="ListParagraph"/>
              <w:spacing w:after="0" w:line="240" w:lineRule="auto"/>
              <w:rPr>
                <w:sz w:val="20"/>
                <w:szCs w:val="20"/>
              </w:rPr>
            </w:pPr>
          </w:p>
          <w:p w14:paraId="59ADAD8D" w14:textId="77777777" w:rsidR="00B54D1C" w:rsidRDefault="00B54D1C" w:rsidP="00B54D1C">
            <w:pPr>
              <w:pStyle w:val="ListParagraph"/>
              <w:spacing w:after="0" w:line="240" w:lineRule="auto"/>
              <w:rPr>
                <w:sz w:val="20"/>
                <w:szCs w:val="20"/>
              </w:rPr>
            </w:pPr>
          </w:p>
          <w:p w14:paraId="3A3A5365" w14:textId="77777777" w:rsidR="00207592" w:rsidRDefault="00207592" w:rsidP="00B54D1C">
            <w:pPr>
              <w:pStyle w:val="ListParagraph"/>
              <w:spacing w:after="0" w:line="240" w:lineRule="auto"/>
              <w:rPr>
                <w:sz w:val="20"/>
                <w:szCs w:val="20"/>
              </w:rPr>
            </w:pPr>
          </w:p>
          <w:p w14:paraId="4DF9FEC5" w14:textId="77777777" w:rsidR="00207592" w:rsidRDefault="00207592" w:rsidP="00B54D1C">
            <w:pPr>
              <w:pStyle w:val="ListParagraph"/>
              <w:spacing w:after="0" w:line="240" w:lineRule="auto"/>
              <w:rPr>
                <w:sz w:val="20"/>
                <w:szCs w:val="20"/>
              </w:rPr>
            </w:pPr>
          </w:p>
          <w:p w14:paraId="0D3A0D41" w14:textId="6A9E178A" w:rsidR="00207592" w:rsidRPr="00B31A9B" w:rsidRDefault="00207592" w:rsidP="00B54D1C">
            <w:pPr>
              <w:pStyle w:val="ListParagraph"/>
              <w:spacing w:after="0" w:line="240" w:lineRule="auto"/>
              <w:rPr>
                <w:sz w:val="20"/>
                <w:szCs w:val="20"/>
              </w:rPr>
            </w:pPr>
          </w:p>
        </w:tc>
      </w:tr>
      <w:tr w:rsidR="005374A7" w:rsidRPr="00B31A9B" w14:paraId="1D760BD2" w14:textId="77777777" w:rsidTr="00B31A9B">
        <w:trPr>
          <w:trHeight w:val="351"/>
        </w:trPr>
        <w:tc>
          <w:tcPr>
            <w:tcW w:w="14670" w:type="dxa"/>
            <w:gridSpan w:val="3"/>
            <w:tcBorders>
              <w:top w:val="nil"/>
              <w:left w:val="single" w:sz="18" w:space="0" w:color="auto"/>
              <w:bottom w:val="single" w:sz="8" w:space="0" w:color="auto"/>
              <w:right w:val="single" w:sz="18" w:space="0" w:color="auto"/>
            </w:tcBorders>
            <w:shd w:val="clear" w:color="auto" w:fill="D9D9D9"/>
            <w:tcMar>
              <w:top w:w="115" w:type="dxa"/>
              <w:left w:w="115" w:type="dxa"/>
              <w:bottom w:w="115" w:type="dxa"/>
              <w:right w:w="115" w:type="dxa"/>
            </w:tcMar>
            <w:vAlign w:val="center"/>
            <w:hideMark/>
          </w:tcPr>
          <w:p w14:paraId="36BD7674" w14:textId="77777777" w:rsidR="005374A7" w:rsidRPr="00B31A9B" w:rsidRDefault="005374A7" w:rsidP="005374A7">
            <w:pPr>
              <w:spacing w:line="312" w:lineRule="auto"/>
              <w:jc w:val="center"/>
              <w:rPr>
                <w:b/>
                <w:bCs/>
                <w:sz w:val="20"/>
                <w:szCs w:val="20"/>
              </w:rPr>
            </w:pPr>
            <w:r w:rsidRPr="00B31A9B">
              <w:rPr>
                <w:b/>
                <w:bCs/>
                <w:color w:val="000000"/>
                <w:sz w:val="20"/>
                <w:szCs w:val="20"/>
              </w:rPr>
              <w:lastRenderedPageBreak/>
              <w:t>Report and Analysis on Actual Outcomes and Products</w:t>
            </w:r>
          </w:p>
        </w:tc>
      </w:tr>
      <w:tr w:rsidR="005374A7" w:rsidRPr="00B31A9B" w14:paraId="6C519F2D"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54B03C4C" w14:textId="77777777" w:rsidR="005374A7" w:rsidRPr="00B31A9B" w:rsidRDefault="005374A7" w:rsidP="005374A7">
            <w:pPr>
              <w:rPr>
                <w:b/>
                <w:bCs/>
                <w:sz w:val="20"/>
                <w:szCs w:val="20"/>
              </w:rPr>
            </w:pPr>
            <w:r w:rsidRPr="00B31A9B">
              <w:rPr>
                <w:b/>
                <w:bCs/>
                <w:color w:val="000000"/>
                <w:sz w:val="20"/>
                <w:szCs w:val="20"/>
              </w:rPr>
              <w:t>Quarter 1</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611EA1E5" w14:textId="22155569" w:rsidR="004D59B4" w:rsidRDefault="00552B8A" w:rsidP="00552B8A">
            <w:pPr>
              <w:pStyle w:val="ListParagraph"/>
              <w:numPr>
                <w:ilvl w:val="0"/>
                <w:numId w:val="44"/>
              </w:numPr>
              <w:spacing w:line="312" w:lineRule="auto"/>
              <w:rPr>
                <w:rFonts w:eastAsia="Times New Roman"/>
                <w:sz w:val="20"/>
                <w:szCs w:val="20"/>
              </w:rPr>
            </w:pPr>
            <w:bookmarkStart w:id="1" w:name="_Hlk152760590"/>
            <w:r>
              <w:rPr>
                <w:rFonts w:eastAsia="Times New Roman"/>
                <w:sz w:val="20"/>
                <w:szCs w:val="20"/>
              </w:rPr>
              <w:t>Marketing and Outreach committe</w:t>
            </w:r>
            <w:r w:rsidR="004D59B4">
              <w:rPr>
                <w:rFonts w:eastAsia="Times New Roman"/>
                <w:sz w:val="20"/>
                <w:szCs w:val="20"/>
              </w:rPr>
              <w:t>e have had ongoing meetings to continue the discussion about shared strategies for COE services.</w:t>
            </w:r>
          </w:p>
          <w:p w14:paraId="3C84EBF1" w14:textId="581D306F" w:rsidR="005374A7" w:rsidRDefault="00526583" w:rsidP="00552B8A">
            <w:pPr>
              <w:pStyle w:val="ListParagraph"/>
              <w:numPr>
                <w:ilvl w:val="0"/>
                <w:numId w:val="44"/>
              </w:numPr>
              <w:spacing w:line="312" w:lineRule="auto"/>
              <w:rPr>
                <w:rFonts w:eastAsia="Times New Roman"/>
                <w:sz w:val="20"/>
                <w:szCs w:val="20"/>
              </w:rPr>
            </w:pPr>
            <w:r>
              <w:rPr>
                <w:rFonts w:eastAsia="Times New Roman"/>
                <w:sz w:val="20"/>
                <w:szCs w:val="20"/>
              </w:rPr>
              <w:t xml:space="preserve">Clean Energy Supply Chain Summit will be postponed until fall 2024 (possibly in October 2024). Weekly Supply Chain Summit workgroup meetings have been spaced out to be monthly meetings instead (with a pause in Nov. and Dec.). </w:t>
            </w:r>
          </w:p>
          <w:p w14:paraId="3D86F62F" w14:textId="72E1F704" w:rsidR="004D59B4" w:rsidRDefault="004D59B4" w:rsidP="00552B8A">
            <w:pPr>
              <w:pStyle w:val="ListParagraph"/>
              <w:numPr>
                <w:ilvl w:val="0"/>
                <w:numId w:val="44"/>
              </w:numPr>
              <w:spacing w:line="312" w:lineRule="auto"/>
              <w:rPr>
                <w:rFonts w:eastAsia="Times New Roman"/>
                <w:sz w:val="20"/>
                <w:szCs w:val="20"/>
              </w:rPr>
            </w:pPr>
            <w:r>
              <w:rPr>
                <w:rFonts w:eastAsia="Times New Roman"/>
                <w:sz w:val="20"/>
                <w:szCs w:val="20"/>
              </w:rPr>
              <w:t>The Pharmacy Supply Chain Preparedness Summit was on October 10, 2023</w:t>
            </w:r>
            <w:r w:rsidR="00616448">
              <w:rPr>
                <w:rFonts w:eastAsia="Times New Roman"/>
                <w:sz w:val="20"/>
                <w:szCs w:val="20"/>
              </w:rPr>
              <w:t xml:space="preserve"> at Highline College in Des Moines, WA. Approximately 25 people attended virtually and 25 attended in person. Planning for the next summit is </w:t>
            </w:r>
            <w:r w:rsidR="00526583">
              <w:rPr>
                <w:rFonts w:eastAsia="Times New Roman"/>
                <w:sz w:val="20"/>
                <w:szCs w:val="20"/>
              </w:rPr>
              <w:t xml:space="preserve">spaced out and </w:t>
            </w:r>
            <w:r w:rsidR="00616448">
              <w:rPr>
                <w:rFonts w:eastAsia="Times New Roman"/>
                <w:sz w:val="20"/>
                <w:szCs w:val="20"/>
              </w:rPr>
              <w:t>on pause until January 2024(per item #</w:t>
            </w:r>
            <w:r w:rsidR="00526583">
              <w:rPr>
                <w:rFonts w:eastAsia="Times New Roman"/>
                <w:sz w:val="20"/>
                <w:szCs w:val="20"/>
              </w:rPr>
              <w:t>2</w:t>
            </w:r>
            <w:r w:rsidR="00616448">
              <w:rPr>
                <w:rFonts w:eastAsia="Times New Roman"/>
                <w:sz w:val="20"/>
                <w:szCs w:val="20"/>
              </w:rPr>
              <w:t xml:space="preserve"> above).</w:t>
            </w:r>
          </w:p>
          <w:p w14:paraId="74B39D4B" w14:textId="77777777" w:rsidR="00526583" w:rsidRDefault="00616448" w:rsidP="00526583">
            <w:pPr>
              <w:pStyle w:val="ListParagraph"/>
              <w:numPr>
                <w:ilvl w:val="0"/>
                <w:numId w:val="44"/>
              </w:numPr>
              <w:spacing w:line="312" w:lineRule="auto"/>
              <w:rPr>
                <w:rFonts w:eastAsia="Times New Roman"/>
                <w:sz w:val="20"/>
                <w:szCs w:val="20"/>
              </w:rPr>
            </w:pPr>
            <w:r>
              <w:rPr>
                <w:rFonts w:eastAsia="Times New Roman"/>
                <w:sz w:val="20"/>
                <w:szCs w:val="20"/>
              </w:rPr>
              <w:t>COE has continuing discussions about program statuses and possible professions needed</w:t>
            </w:r>
            <w:r w:rsidR="00526583">
              <w:rPr>
                <w:rFonts w:eastAsia="Times New Roman"/>
                <w:sz w:val="20"/>
                <w:szCs w:val="20"/>
              </w:rPr>
              <w:t xml:space="preserve"> through monthly check ins and quarterly advisory board meetings</w:t>
            </w:r>
            <w:r>
              <w:rPr>
                <w:rFonts w:eastAsia="Times New Roman"/>
                <w:sz w:val="20"/>
                <w:szCs w:val="20"/>
              </w:rPr>
              <w:t xml:space="preserve">. </w:t>
            </w:r>
          </w:p>
          <w:p w14:paraId="0806149E" w14:textId="1D1F2EFB" w:rsidR="00616448" w:rsidRPr="00552B8A" w:rsidRDefault="00FA1449" w:rsidP="00526583">
            <w:pPr>
              <w:pStyle w:val="ListParagraph"/>
              <w:numPr>
                <w:ilvl w:val="0"/>
                <w:numId w:val="44"/>
              </w:numPr>
              <w:spacing w:line="312" w:lineRule="auto"/>
              <w:rPr>
                <w:rFonts w:eastAsia="Times New Roman"/>
                <w:sz w:val="20"/>
                <w:szCs w:val="20"/>
              </w:rPr>
            </w:pPr>
            <w:r>
              <w:rPr>
                <w:rFonts w:eastAsia="Times New Roman"/>
                <w:sz w:val="20"/>
                <w:szCs w:val="20"/>
              </w:rPr>
              <w:t>The Center is researching the impact that AI will have on workforce pathway programs.</w:t>
            </w:r>
            <w:bookmarkEnd w:id="1"/>
          </w:p>
        </w:tc>
      </w:tr>
      <w:tr w:rsidR="005374A7" w:rsidRPr="00B31A9B" w14:paraId="2692644F"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125480E1" w14:textId="77777777" w:rsidR="005374A7" w:rsidRPr="00B31A9B" w:rsidRDefault="005374A7" w:rsidP="005374A7">
            <w:pPr>
              <w:rPr>
                <w:b/>
                <w:bCs/>
                <w:sz w:val="20"/>
                <w:szCs w:val="20"/>
              </w:rPr>
            </w:pPr>
            <w:r w:rsidRPr="00B31A9B">
              <w:rPr>
                <w:b/>
                <w:bCs/>
                <w:color w:val="000000"/>
                <w:sz w:val="20"/>
                <w:szCs w:val="20"/>
              </w:rPr>
              <w:t>Quarter 2</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4EE0F135" w14:textId="77777777" w:rsidR="005374A7" w:rsidRPr="008A3350" w:rsidRDefault="005374A7" w:rsidP="005374A7">
            <w:pPr>
              <w:spacing w:line="312" w:lineRule="auto"/>
              <w:rPr>
                <w:sz w:val="20"/>
                <w:szCs w:val="20"/>
              </w:rPr>
            </w:pPr>
          </w:p>
        </w:tc>
      </w:tr>
      <w:tr w:rsidR="005374A7" w:rsidRPr="00B31A9B" w14:paraId="413AC51F"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591EED4F" w14:textId="77777777" w:rsidR="005374A7" w:rsidRPr="00B31A9B" w:rsidRDefault="005374A7" w:rsidP="005374A7">
            <w:pPr>
              <w:rPr>
                <w:b/>
                <w:bCs/>
                <w:sz w:val="20"/>
                <w:szCs w:val="20"/>
              </w:rPr>
            </w:pPr>
            <w:r w:rsidRPr="00B31A9B">
              <w:rPr>
                <w:b/>
                <w:bCs/>
                <w:color w:val="000000"/>
                <w:sz w:val="20"/>
                <w:szCs w:val="20"/>
              </w:rPr>
              <w:t>Quarter 3</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1282DBE6" w14:textId="77777777" w:rsidR="005374A7" w:rsidRPr="00B31A9B" w:rsidRDefault="005374A7" w:rsidP="005374A7">
            <w:pPr>
              <w:spacing w:line="312" w:lineRule="auto"/>
              <w:rPr>
                <w:sz w:val="20"/>
                <w:szCs w:val="20"/>
              </w:rPr>
            </w:pPr>
          </w:p>
        </w:tc>
      </w:tr>
      <w:tr w:rsidR="005374A7" w:rsidRPr="00B31A9B" w14:paraId="1A5F7BC5"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06A90371" w14:textId="77777777" w:rsidR="005374A7" w:rsidRPr="00B31A9B" w:rsidRDefault="005374A7" w:rsidP="005374A7">
            <w:pPr>
              <w:rPr>
                <w:b/>
                <w:bCs/>
                <w:sz w:val="20"/>
                <w:szCs w:val="20"/>
              </w:rPr>
            </w:pPr>
            <w:r w:rsidRPr="00B31A9B">
              <w:rPr>
                <w:b/>
                <w:bCs/>
                <w:color w:val="000000"/>
                <w:sz w:val="20"/>
                <w:szCs w:val="20"/>
              </w:rPr>
              <w:t>Quarter 4</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1CF5BCFA" w14:textId="77777777" w:rsidR="005374A7" w:rsidRPr="00B31A9B" w:rsidRDefault="005374A7" w:rsidP="005374A7">
            <w:pPr>
              <w:spacing w:line="312" w:lineRule="auto"/>
              <w:rPr>
                <w:sz w:val="20"/>
                <w:szCs w:val="20"/>
              </w:rPr>
            </w:pPr>
          </w:p>
        </w:tc>
      </w:tr>
      <w:tr w:rsidR="003B4335" w:rsidRPr="00B31A9B" w14:paraId="0439E0AF"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5C1BE9D7" w14:textId="77777777" w:rsidR="003B4335" w:rsidRDefault="003B4335" w:rsidP="003B4335">
            <w:pPr>
              <w:rPr>
                <w:b/>
                <w:bCs/>
                <w:color w:val="000000"/>
                <w:sz w:val="20"/>
                <w:szCs w:val="20"/>
              </w:rPr>
            </w:pPr>
            <w:r w:rsidRPr="00B31A9B">
              <w:rPr>
                <w:b/>
                <w:bCs/>
                <w:color w:val="000000"/>
                <w:sz w:val="20"/>
                <w:szCs w:val="20"/>
              </w:rPr>
              <w:t>Analysis Quarter #1</w:t>
            </w:r>
          </w:p>
          <w:p w14:paraId="35E6BC91" w14:textId="77777777" w:rsidR="003B4335" w:rsidRPr="00B31A9B" w:rsidRDefault="003B4335" w:rsidP="005374A7">
            <w:pPr>
              <w:rPr>
                <w:b/>
                <w:bCs/>
                <w:color w:val="000000"/>
                <w:sz w:val="20"/>
                <w:szCs w:val="20"/>
              </w:rPr>
            </w:pP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6FDCC9E2" w14:textId="2B993094" w:rsidR="003B4335" w:rsidRPr="00B31A9B" w:rsidRDefault="00037A53" w:rsidP="005374A7">
            <w:pPr>
              <w:spacing w:line="312" w:lineRule="auto"/>
              <w:rPr>
                <w:sz w:val="20"/>
                <w:szCs w:val="20"/>
              </w:rPr>
            </w:pPr>
            <w:bookmarkStart w:id="2" w:name="_Hlk152767863"/>
            <w:r>
              <w:rPr>
                <w:sz w:val="20"/>
                <w:szCs w:val="20"/>
              </w:rPr>
              <w:t xml:space="preserve">Due to the recovery process from Pierce College’s cyber security incident, much of these processes have been paused </w:t>
            </w:r>
            <w:r w:rsidR="00776EA4">
              <w:rPr>
                <w:sz w:val="20"/>
                <w:szCs w:val="20"/>
              </w:rPr>
              <w:t>and/</w:t>
            </w:r>
            <w:r>
              <w:rPr>
                <w:sz w:val="20"/>
                <w:szCs w:val="20"/>
              </w:rPr>
              <w:t>or extended while staff have been regaining email/computer access.</w:t>
            </w:r>
            <w:r w:rsidR="001D7F0D">
              <w:rPr>
                <w:sz w:val="20"/>
                <w:szCs w:val="20"/>
              </w:rPr>
              <w:t xml:space="preserve"> </w:t>
            </w:r>
            <w:bookmarkEnd w:id="2"/>
          </w:p>
        </w:tc>
      </w:tr>
      <w:tr w:rsidR="003B4335" w:rsidRPr="00B31A9B" w14:paraId="56CDD189"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6DAA20F1" w14:textId="4B4290F9" w:rsidR="003B4335" w:rsidRPr="00B31A9B" w:rsidRDefault="003B4335" w:rsidP="005374A7">
            <w:pPr>
              <w:rPr>
                <w:b/>
                <w:bCs/>
                <w:color w:val="000000"/>
                <w:sz w:val="20"/>
                <w:szCs w:val="20"/>
              </w:rPr>
            </w:pPr>
            <w:r>
              <w:rPr>
                <w:b/>
                <w:bCs/>
                <w:color w:val="000000"/>
                <w:sz w:val="20"/>
                <w:szCs w:val="20"/>
              </w:rPr>
              <w:t>Analysis Quarter #2</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32BEA507" w14:textId="77777777" w:rsidR="003B4335" w:rsidRPr="00B31A9B" w:rsidRDefault="003B4335" w:rsidP="005374A7">
            <w:pPr>
              <w:spacing w:line="312" w:lineRule="auto"/>
              <w:rPr>
                <w:sz w:val="20"/>
                <w:szCs w:val="20"/>
              </w:rPr>
            </w:pPr>
          </w:p>
        </w:tc>
      </w:tr>
      <w:tr w:rsidR="003B4335" w:rsidRPr="00B31A9B" w14:paraId="74FC90B2"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30EC665D" w14:textId="77777777" w:rsidR="003B4335" w:rsidRPr="00B31A9B" w:rsidRDefault="003B4335" w:rsidP="005374A7">
            <w:pPr>
              <w:rPr>
                <w:b/>
                <w:bCs/>
                <w:color w:val="000000"/>
                <w:sz w:val="20"/>
                <w:szCs w:val="20"/>
              </w:rPr>
            </w:pPr>
            <w:r>
              <w:rPr>
                <w:b/>
                <w:bCs/>
                <w:color w:val="000000"/>
                <w:sz w:val="20"/>
                <w:szCs w:val="20"/>
              </w:rPr>
              <w:t>Analysis Quarter #3</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781FBF58" w14:textId="77777777" w:rsidR="003B4335" w:rsidRPr="00B31A9B" w:rsidRDefault="003B4335" w:rsidP="005374A7">
            <w:pPr>
              <w:spacing w:line="312" w:lineRule="auto"/>
              <w:rPr>
                <w:sz w:val="20"/>
                <w:szCs w:val="20"/>
              </w:rPr>
            </w:pPr>
          </w:p>
        </w:tc>
      </w:tr>
      <w:tr w:rsidR="005374A7" w:rsidRPr="00B31A9B" w14:paraId="0FADBFA1" w14:textId="77777777" w:rsidTr="00FE136E">
        <w:trPr>
          <w:trHeight w:val="351"/>
        </w:trPr>
        <w:tc>
          <w:tcPr>
            <w:tcW w:w="2448" w:type="dxa"/>
            <w:tcBorders>
              <w:top w:val="nil"/>
              <w:left w:val="single" w:sz="18" w:space="0" w:color="auto"/>
              <w:bottom w:val="nil"/>
              <w:right w:val="single" w:sz="8" w:space="0" w:color="auto"/>
            </w:tcBorders>
            <w:shd w:val="clear" w:color="auto" w:fill="F2F2F2"/>
            <w:tcMar>
              <w:top w:w="115" w:type="dxa"/>
              <w:left w:w="115" w:type="dxa"/>
              <w:bottom w:w="115" w:type="dxa"/>
              <w:right w:w="115" w:type="dxa"/>
            </w:tcMar>
            <w:vAlign w:val="center"/>
            <w:hideMark/>
          </w:tcPr>
          <w:p w14:paraId="3F13D86C" w14:textId="77777777" w:rsidR="005374A7" w:rsidRDefault="003B4335" w:rsidP="005374A7">
            <w:pPr>
              <w:rPr>
                <w:b/>
                <w:bCs/>
                <w:color w:val="000000"/>
                <w:sz w:val="20"/>
                <w:szCs w:val="20"/>
              </w:rPr>
            </w:pPr>
            <w:r>
              <w:rPr>
                <w:b/>
                <w:bCs/>
                <w:color w:val="000000"/>
                <w:sz w:val="20"/>
                <w:szCs w:val="20"/>
              </w:rPr>
              <w:t xml:space="preserve">Analysis Quarter #4 </w:t>
            </w:r>
          </w:p>
          <w:p w14:paraId="776270BC" w14:textId="77777777" w:rsidR="005374A7" w:rsidRPr="00B31A9B" w:rsidRDefault="005374A7" w:rsidP="003B4335">
            <w:pPr>
              <w:rPr>
                <w:b/>
                <w:bCs/>
                <w:sz w:val="20"/>
                <w:szCs w:val="20"/>
              </w:rPr>
            </w:pPr>
          </w:p>
        </w:tc>
        <w:tc>
          <w:tcPr>
            <w:tcW w:w="12222" w:type="dxa"/>
            <w:gridSpan w:val="2"/>
            <w:tcBorders>
              <w:top w:val="nil"/>
              <w:left w:val="nil"/>
              <w:bottom w:val="nil"/>
              <w:right w:val="single" w:sz="18" w:space="0" w:color="auto"/>
            </w:tcBorders>
            <w:tcMar>
              <w:top w:w="115" w:type="dxa"/>
              <w:left w:w="115" w:type="dxa"/>
              <w:bottom w:w="115" w:type="dxa"/>
              <w:right w:w="115" w:type="dxa"/>
            </w:tcMar>
            <w:vAlign w:val="center"/>
          </w:tcPr>
          <w:p w14:paraId="168BE3C5" w14:textId="77777777" w:rsidR="005374A7" w:rsidRPr="00A17BB5" w:rsidRDefault="005374A7" w:rsidP="005374A7">
            <w:pPr>
              <w:spacing w:line="312" w:lineRule="auto"/>
              <w:rPr>
                <w:b/>
                <w:sz w:val="20"/>
                <w:szCs w:val="20"/>
              </w:rPr>
            </w:pPr>
          </w:p>
        </w:tc>
      </w:tr>
      <w:tr w:rsidR="005374A7" w:rsidRPr="00B31A9B" w14:paraId="4084716E"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0896EDC6" w14:textId="2B3347A5" w:rsidR="00F2662F" w:rsidRPr="00D54AB1" w:rsidRDefault="00F2662F" w:rsidP="005374A7">
            <w:pPr>
              <w:rPr>
                <w:b/>
                <w:bCs/>
                <w:color w:val="000000"/>
                <w:sz w:val="20"/>
                <w:szCs w:val="20"/>
              </w:rPr>
            </w:pP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212C6DFE" w14:textId="77777777" w:rsidR="005374A7" w:rsidRPr="00A17BB5" w:rsidRDefault="005374A7" w:rsidP="005374A7">
            <w:pPr>
              <w:spacing w:line="312" w:lineRule="auto"/>
              <w:rPr>
                <w:b/>
                <w:sz w:val="20"/>
                <w:szCs w:val="20"/>
              </w:rPr>
            </w:pPr>
          </w:p>
        </w:tc>
      </w:tr>
    </w:tbl>
    <w:p w14:paraId="34005FBB" w14:textId="53C08E73" w:rsidR="00B31A9B" w:rsidRDefault="00B31A9B" w:rsidP="00B31A9B">
      <w:pPr>
        <w:rPr>
          <w:sz w:val="20"/>
          <w:szCs w:val="20"/>
        </w:rPr>
      </w:pPr>
    </w:p>
    <w:p w14:paraId="1D25C47F" w14:textId="126B28A2" w:rsidR="00F2662F" w:rsidRDefault="00F2662F" w:rsidP="00B31A9B">
      <w:pPr>
        <w:rPr>
          <w:sz w:val="20"/>
          <w:szCs w:val="20"/>
        </w:rPr>
      </w:pPr>
    </w:p>
    <w:p w14:paraId="34027FA2" w14:textId="5EE726D7" w:rsidR="00F2662F" w:rsidRDefault="00F2662F" w:rsidP="00B31A9B">
      <w:pPr>
        <w:rPr>
          <w:sz w:val="20"/>
          <w:szCs w:val="20"/>
        </w:rPr>
      </w:pPr>
    </w:p>
    <w:p w14:paraId="64CA00C3" w14:textId="348C1FF1" w:rsidR="00F2662F" w:rsidRDefault="00F2662F" w:rsidP="00B31A9B">
      <w:pPr>
        <w:rPr>
          <w:sz w:val="20"/>
          <w:szCs w:val="20"/>
        </w:rPr>
      </w:pPr>
    </w:p>
    <w:p w14:paraId="7EB237FD" w14:textId="161AE424" w:rsidR="00F2662F" w:rsidRDefault="00F2662F" w:rsidP="00B31A9B">
      <w:pPr>
        <w:rPr>
          <w:sz w:val="20"/>
          <w:szCs w:val="20"/>
        </w:rPr>
      </w:pPr>
    </w:p>
    <w:p w14:paraId="20AEFD0A" w14:textId="742E38CE" w:rsidR="00F2662F" w:rsidRDefault="00F2662F" w:rsidP="00B31A9B">
      <w:pPr>
        <w:rPr>
          <w:sz w:val="20"/>
          <w:szCs w:val="20"/>
        </w:rPr>
      </w:pPr>
    </w:p>
    <w:p w14:paraId="2C461E50" w14:textId="77777777" w:rsidR="00F2662F" w:rsidRPr="00B31A9B" w:rsidRDefault="00F2662F" w:rsidP="00B31A9B">
      <w:pPr>
        <w:rPr>
          <w:sz w:val="20"/>
          <w:szCs w:val="20"/>
        </w:rPr>
      </w:pPr>
    </w:p>
    <w:tbl>
      <w:tblPr>
        <w:tblW w:w="14670" w:type="dxa"/>
        <w:tblCellMar>
          <w:left w:w="0" w:type="dxa"/>
          <w:right w:w="0" w:type="dxa"/>
        </w:tblCellMar>
        <w:tblLook w:val="04A0" w:firstRow="1" w:lastRow="0" w:firstColumn="1" w:lastColumn="0" w:noHBand="0" w:noVBand="1"/>
      </w:tblPr>
      <w:tblGrid>
        <w:gridCol w:w="2448"/>
        <w:gridCol w:w="6245"/>
        <w:gridCol w:w="5977"/>
      </w:tblGrid>
      <w:tr w:rsidR="0007700C" w:rsidRPr="00B31A9B" w14:paraId="6E08306E" w14:textId="77777777" w:rsidTr="00684EA1">
        <w:trPr>
          <w:trHeight w:val="55"/>
        </w:trPr>
        <w:tc>
          <w:tcPr>
            <w:tcW w:w="2448" w:type="dxa"/>
            <w:tcBorders>
              <w:top w:val="single" w:sz="18" w:space="0" w:color="auto"/>
              <w:left w:val="single" w:sz="18" w:space="0" w:color="auto"/>
              <w:bottom w:val="single" w:sz="8" w:space="0" w:color="auto"/>
              <w:right w:val="single" w:sz="8" w:space="0" w:color="auto"/>
            </w:tcBorders>
            <w:shd w:val="clear" w:color="auto" w:fill="D9D9D9"/>
            <w:tcMar>
              <w:top w:w="115" w:type="dxa"/>
              <w:left w:w="115" w:type="dxa"/>
              <w:bottom w:w="115" w:type="dxa"/>
              <w:right w:w="115" w:type="dxa"/>
            </w:tcMar>
            <w:vAlign w:val="center"/>
            <w:hideMark/>
          </w:tcPr>
          <w:p w14:paraId="4F988DFD" w14:textId="77777777" w:rsidR="0007700C" w:rsidRPr="00B31A9B" w:rsidRDefault="0007700C" w:rsidP="00684EA1">
            <w:pPr>
              <w:jc w:val="center"/>
              <w:rPr>
                <w:b/>
                <w:bCs/>
                <w:sz w:val="20"/>
                <w:szCs w:val="20"/>
              </w:rPr>
            </w:pPr>
            <w:r w:rsidRPr="00B31A9B">
              <w:rPr>
                <w:rFonts w:eastAsia="Times New Roman"/>
                <w:b/>
                <w:bCs/>
                <w:sz w:val="20"/>
                <w:szCs w:val="20"/>
              </w:rPr>
              <w:br w:type="page"/>
            </w:r>
            <w:r w:rsidRPr="00B31A9B">
              <w:rPr>
                <w:b/>
                <w:bCs/>
                <w:color w:val="000000"/>
                <w:sz w:val="20"/>
                <w:szCs w:val="20"/>
              </w:rPr>
              <w:t>Core Expectations</w:t>
            </w:r>
            <w:r w:rsidRPr="00B31A9B">
              <w:rPr>
                <w:color w:val="000000"/>
                <w:sz w:val="20"/>
                <w:szCs w:val="20"/>
              </w:rPr>
              <w:br w:type="page"/>
            </w:r>
          </w:p>
        </w:tc>
        <w:tc>
          <w:tcPr>
            <w:tcW w:w="12222" w:type="dxa"/>
            <w:gridSpan w:val="2"/>
            <w:tcBorders>
              <w:top w:val="single" w:sz="18" w:space="0" w:color="auto"/>
              <w:left w:val="nil"/>
              <w:bottom w:val="single" w:sz="8" w:space="0" w:color="auto"/>
              <w:right w:val="single" w:sz="18" w:space="0" w:color="auto"/>
            </w:tcBorders>
            <w:shd w:val="clear" w:color="auto" w:fill="D9D9D9"/>
            <w:tcMar>
              <w:top w:w="115" w:type="dxa"/>
              <w:left w:w="115" w:type="dxa"/>
              <w:bottom w:w="115" w:type="dxa"/>
              <w:right w:w="115" w:type="dxa"/>
            </w:tcMar>
            <w:vAlign w:val="center"/>
            <w:hideMark/>
          </w:tcPr>
          <w:p w14:paraId="2A8C10C2" w14:textId="785E40B8" w:rsidR="0007700C" w:rsidRDefault="0007700C" w:rsidP="00684EA1">
            <w:pPr>
              <w:jc w:val="center"/>
              <w:rPr>
                <w:b/>
                <w:bCs/>
                <w:color w:val="000000"/>
                <w:sz w:val="20"/>
                <w:szCs w:val="20"/>
              </w:rPr>
            </w:pPr>
            <w:r w:rsidRPr="00B31A9B">
              <w:rPr>
                <w:b/>
                <w:bCs/>
                <w:color w:val="000000"/>
                <w:sz w:val="20"/>
                <w:szCs w:val="20"/>
              </w:rPr>
              <w:t xml:space="preserve">Activity #3 - </w:t>
            </w:r>
          </w:p>
          <w:p w14:paraId="5A6BA0E4" w14:textId="77777777" w:rsidR="0007700C" w:rsidRPr="00B31A9B" w:rsidRDefault="0007700C" w:rsidP="00684EA1">
            <w:pPr>
              <w:jc w:val="center"/>
              <w:rPr>
                <w:b/>
                <w:bCs/>
                <w:sz w:val="20"/>
                <w:szCs w:val="20"/>
              </w:rPr>
            </w:pPr>
            <w:r>
              <w:rPr>
                <w:b/>
                <w:bCs/>
                <w:color w:val="000000"/>
                <w:sz w:val="20"/>
                <w:szCs w:val="20"/>
              </w:rPr>
              <w:t xml:space="preserve">Understanding Public Private Partnerships in Building Community Resilience </w:t>
            </w:r>
          </w:p>
        </w:tc>
      </w:tr>
      <w:tr w:rsidR="0007700C" w:rsidRPr="00B31A9B" w14:paraId="1B9941C7" w14:textId="77777777" w:rsidTr="00684EA1">
        <w:trPr>
          <w:trHeight w:val="775"/>
        </w:trPr>
        <w:tc>
          <w:tcPr>
            <w:tcW w:w="2448" w:type="dxa"/>
            <w:tcBorders>
              <w:top w:val="nil"/>
              <w:left w:val="single" w:sz="18" w:space="0" w:color="auto"/>
              <w:bottom w:val="single" w:sz="8" w:space="0" w:color="auto"/>
              <w:right w:val="single" w:sz="8" w:space="0" w:color="auto"/>
            </w:tcBorders>
            <w:tcMar>
              <w:top w:w="115" w:type="dxa"/>
              <w:left w:w="115" w:type="dxa"/>
              <w:bottom w:w="115" w:type="dxa"/>
              <w:right w:w="115" w:type="dxa"/>
            </w:tcMar>
            <w:vAlign w:val="center"/>
            <w:hideMark/>
          </w:tcPr>
          <w:p w14:paraId="4B36D17D" w14:textId="77777777" w:rsidR="0007700C" w:rsidRPr="00B31A9B" w:rsidRDefault="001A2AC6" w:rsidP="00684EA1">
            <w:pPr>
              <w:spacing w:line="480" w:lineRule="auto"/>
              <w:rPr>
                <w:sz w:val="20"/>
                <w:szCs w:val="20"/>
              </w:rPr>
            </w:pPr>
            <w:sdt>
              <w:sdtPr>
                <w:rPr>
                  <w:sz w:val="20"/>
                  <w:szCs w:val="20"/>
                </w:rPr>
                <w:id w:val="-81463260"/>
                <w14:checkbox>
                  <w14:checked w14:val="0"/>
                  <w14:checkedState w14:val="2612" w14:font="MS Gothic"/>
                  <w14:uncheckedState w14:val="2610" w14:font="MS Gothic"/>
                </w14:checkbox>
              </w:sdtPr>
              <w:sdtEndPr/>
              <w:sdtContent>
                <w:r w:rsidR="0007700C" w:rsidRPr="00B31A9B">
                  <w:rPr>
                    <w:rFonts w:ascii="Segoe UI Symbol" w:hAnsi="Segoe UI Symbol"/>
                    <w:sz w:val="20"/>
                    <w:szCs w:val="20"/>
                  </w:rPr>
                  <w:t>☐</w:t>
                </w:r>
              </w:sdtContent>
            </w:sdt>
            <w:r w:rsidR="0007700C" w:rsidRPr="00B31A9B">
              <w:rPr>
                <w:sz w:val="20"/>
                <w:szCs w:val="20"/>
              </w:rPr>
              <w:t xml:space="preserve"> Economic Development</w:t>
            </w:r>
          </w:p>
          <w:p w14:paraId="110F870C" w14:textId="77777777" w:rsidR="0007700C" w:rsidRPr="00B31A9B" w:rsidRDefault="001A2AC6" w:rsidP="00684EA1">
            <w:pPr>
              <w:spacing w:line="480" w:lineRule="auto"/>
              <w:rPr>
                <w:sz w:val="20"/>
                <w:szCs w:val="20"/>
              </w:rPr>
            </w:pPr>
            <w:sdt>
              <w:sdtPr>
                <w:rPr>
                  <w:sz w:val="20"/>
                  <w:szCs w:val="20"/>
                </w:rPr>
                <w:id w:val="-492487895"/>
                <w14:checkbox>
                  <w14:checked w14:val="1"/>
                  <w14:checkedState w14:val="2612" w14:font="MS Gothic"/>
                  <w14:uncheckedState w14:val="2610" w14:font="MS Gothic"/>
                </w14:checkbox>
              </w:sdtPr>
              <w:sdtEndPr/>
              <w:sdtContent>
                <w:r w:rsidR="0007700C" w:rsidRPr="00B31A9B">
                  <w:rPr>
                    <w:rFonts w:ascii="Segoe UI Symbol" w:hAnsi="Segoe UI Symbol"/>
                    <w:sz w:val="20"/>
                    <w:szCs w:val="20"/>
                  </w:rPr>
                  <w:t>☒</w:t>
                </w:r>
              </w:sdtContent>
            </w:sdt>
            <w:r w:rsidR="0007700C" w:rsidRPr="00B31A9B">
              <w:rPr>
                <w:sz w:val="20"/>
                <w:szCs w:val="20"/>
              </w:rPr>
              <w:t xml:space="preserve"> Sector Strategy</w:t>
            </w:r>
          </w:p>
          <w:p w14:paraId="1BBC9AA6" w14:textId="77777777" w:rsidR="0007700C" w:rsidRPr="00B31A9B" w:rsidRDefault="001A2AC6" w:rsidP="00684EA1">
            <w:pPr>
              <w:spacing w:line="480" w:lineRule="auto"/>
              <w:rPr>
                <w:sz w:val="20"/>
                <w:szCs w:val="20"/>
              </w:rPr>
            </w:pPr>
            <w:sdt>
              <w:sdtPr>
                <w:rPr>
                  <w:sz w:val="20"/>
                  <w:szCs w:val="20"/>
                </w:rPr>
                <w:id w:val="-618143258"/>
                <w14:checkbox>
                  <w14:checked w14:val="1"/>
                  <w14:checkedState w14:val="2612" w14:font="MS Gothic"/>
                  <w14:uncheckedState w14:val="2610" w14:font="MS Gothic"/>
                </w14:checkbox>
              </w:sdtPr>
              <w:sdtEndPr/>
              <w:sdtContent>
                <w:r w:rsidR="0007700C" w:rsidRPr="00B31A9B">
                  <w:rPr>
                    <w:rFonts w:ascii="Segoe UI Symbol" w:hAnsi="Segoe UI Symbol"/>
                    <w:sz w:val="20"/>
                    <w:szCs w:val="20"/>
                  </w:rPr>
                  <w:t>☒</w:t>
                </w:r>
              </w:sdtContent>
            </w:sdt>
            <w:r w:rsidR="0007700C" w:rsidRPr="00B31A9B">
              <w:rPr>
                <w:sz w:val="20"/>
                <w:szCs w:val="20"/>
              </w:rPr>
              <w:t xml:space="preserve"> Ed/Innovation/Efficiency</w:t>
            </w:r>
          </w:p>
          <w:p w14:paraId="2D858A21" w14:textId="77777777" w:rsidR="0007700C" w:rsidRPr="00B31A9B" w:rsidRDefault="001A2AC6" w:rsidP="00684EA1">
            <w:pPr>
              <w:spacing w:line="480" w:lineRule="auto"/>
              <w:rPr>
                <w:sz w:val="20"/>
                <w:szCs w:val="20"/>
              </w:rPr>
            </w:pPr>
            <w:sdt>
              <w:sdtPr>
                <w:rPr>
                  <w:sz w:val="20"/>
                  <w:szCs w:val="20"/>
                </w:rPr>
                <w:id w:val="-1497415500"/>
                <w14:checkbox>
                  <w14:checked w14:val="1"/>
                  <w14:checkedState w14:val="2612" w14:font="MS Gothic"/>
                  <w14:uncheckedState w14:val="2610" w14:font="MS Gothic"/>
                </w14:checkbox>
              </w:sdtPr>
              <w:sdtEndPr/>
              <w:sdtContent>
                <w:r w:rsidR="0007700C" w:rsidRPr="00B31A9B">
                  <w:rPr>
                    <w:rFonts w:ascii="Segoe UI Symbol" w:hAnsi="Segoe UI Symbol"/>
                    <w:sz w:val="20"/>
                    <w:szCs w:val="20"/>
                  </w:rPr>
                  <w:t>☒</w:t>
                </w:r>
              </w:sdtContent>
            </w:sdt>
            <w:r w:rsidR="0007700C" w:rsidRPr="00B31A9B">
              <w:rPr>
                <w:sz w:val="20"/>
                <w:szCs w:val="20"/>
              </w:rPr>
              <w:t xml:space="preserve"> Supply/Demand</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tcPr>
          <w:p w14:paraId="7710D3D3" w14:textId="77777777" w:rsidR="007F6FD2" w:rsidRDefault="0084367E" w:rsidP="00684EA1">
            <w:pPr>
              <w:rPr>
                <w:b/>
                <w:bCs/>
                <w:sz w:val="20"/>
                <w:szCs w:val="20"/>
              </w:rPr>
            </w:pPr>
            <w:r>
              <w:rPr>
                <w:b/>
                <w:bCs/>
                <w:sz w:val="20"/>
                <w:szCs w:val="20"/>
              </w:rPr>
              <w:t xml:space="preserve">Activity #3:  </w:t>
            </w:r>
            <w:r w:rsidR="007F6FD2">
              <w:rPr>
                <w:b/>
                <w:bCs/>
                <w:sz w:val="20"/>
                <w:szCs w:val="20"/>
              </w:rPr>
              <w:t>Understanding Public Private Partnerships in Building Community Resilience</w:t>
            </w:r>
          </w:p>
          <w:p w14:paraId="5B9B3C90" w14:textId="77777777" w:rsidR="00B3166F" w:rsidRDefault="00B3166F" w:rsidP="00684EA1">
            <w:pPr>
              <w:rPr>
                <w:bCs/>
                <w:sz w:val="20"/>
                <w:szCs w:val="20"/>
              </w:rPr>
            </w:pPr>
            <w:r>
              <w:rPr>
                <w:bCs/>
                <w:sz w:val="20"/>
                <w:szCs w:val="20"/>
              </w:rPr>
              <w:t xml:space="preserve">Develop a systematic based on four central components applied as a continuous improvement model: </w:t>
            </w:r>
          </w:p>
          <w:p w14:paraId="6D6F4457" w14:textId="77777777" w:rsidR="00B3166F" w:rsidRPr="00B3166F" w:rsidRDefault="00B3166F" w:rsidP="00B3166F">
            <w:pPr>
              <w:pStyle w:val="ListParagraph"/>
              <w:numPr>
                <w:ilvl w:val="0"/>
                <w:numId w:val="35"/>
              </w:numPr>
              <w:rPr>
                <w:bCs/>
                <w:sz w:val="20"/>
                <w:szCs w:val="20"/>
              </w:rPr>
            </w:pPr>
            <w:r w:rsidRPr="00B3166F">
              <w:rPr>
                <w:bCs/>
                <w:sz w:val="20"/>
                <w:szCs w:val="20"/>
              </w:rPr>
              <w:t xml:space="preserve">Creating shared understanding of community adversity; </w:t>
            </w:r>
            <w:r>
              <w:rPr>
                <w:bCs/>
                <w:sz w:val="20"/>
                <w:szCs w:val="20"/>
              </w:rPr>
              <w:t>2) assessing system readiness; 3) Developing cross-sector partnerships; and 4) engaging communities in a collaborative response cycle of Plan-Do-Check-Act (P</w:t>
            </w:r>
            <w:r w:rsidR="00147915">
              <w:rPr>
                <w:bCs/>
                <w:sz w:val="20"/>
                <w:szCs w:val="20"/>
              </w:rPr>
              <w:t>DC</w:t>
            </w:r>
            <w:r>
              <w:rPr>
                <w:bCs/>
                <w:sz w:val="20"/>
                <w:szCs w:val="20"/>
              </w:rPr>
              <w:t>A).</w:t>
            </w:r>
          </w:p>
          <w:p w14:paraId="609DAA40" w14:textId="77777777" w:rsidR="0007700C" w:rsidRPr="00B31A9B" w:rsidRDefault="0007700C" w:rsidP="00147915">
            <w:pPr>
              <w:rPr>
                <w:sz w:val="20"/>
                <w:szCs w:val="20"/>
              </w:rPr>
            </w:pPr>
            <w:r w:rsidRPr="00B31A9B">
              <w:rPr>
                <w:sz w:val="20"/>
                <w:szCs w:val="20"/>
              </w:rPr>
              <w:t xml:space="preserve">Coordinated, standardized, and accessible All-Hazards Emergency Management workforce education programs are critical to the state’s preparedness and economic resilience. Center will facilitate and support the design and development of a “vertical track” of seamless, coordinated, and standardized training programs for K-12 and </w:t>
            </w:r>
            <w:proofErr w:type="gramStart"/>
            <w:r w:rsidRPr="00B31A9B">
              <w:rPr>
                <w:sz w:val="20"/>
                <w:szCs w:val="20"/>
              </w:rPr>
              <w:t>Post-secondary</w:t>
            </w:r>
            <w:proofErr w:type="gramEnd"/>
            <w:r w:rsidRPr="00B31A9B">
              <w:rPr>
                <w:sz w:val="20"/>
                <w:szCs w:val="20"/>
              </w:rPr>
              <w:t xml:space="preserve"> education.  There are over 1.2 million students in K-12, and currently, no K-12 programs are addressing </w:t>
            </w:r>
            <w:r w:rsidR="00147915">
              <w:rPr>
                <w:sz w:val="20"/>
                <w:szCs w:val="20"/>
              </w:rPr>
              <w:t xml:space="preserve">community resilience </w:t>
            </w:r>
            <w:r w:rsidRPr="00B31A9B">
              <w:rPr>
                <w:sz w:val="20"/>
                <w:szCs w:val="20"/>
              </w:rPr>
              <w:t xml:space="preserve">education.  The Center will continue to work with Skills Centers to incorporate the </w:t>
            </w:r>
            <w:r w:rsidR="00147915">
              <w:rPr>
                <w:sz w:val="20"/>
                <w:szCs w:val="20"/>
              </w:rPr>
              <w:t xml:space="preserve">all hazard/resilience </w:t>
            </w:r>
            <w:r w:rsidRPr="00B31A9B">
              <w:rPr>
                <w:sz w:val="20"/>
                <w:szCs w:val="20"/>
              </w:rPr>
              <w:t>curriculum</w:t>
            </w:r>
            <w:r w:rsidR="00147915">
              <w:rPr>
                <w:sz w:val="20"/>
                <w:szCs w:val="20"/>
              </w:rPr>
              <w:t>s</w:t>
            </w:r>
            <w:r w:rsidRPr="00B31A9B">
              <w:rPr>
                <w:sz w:val="20"/>
                <w:szCs w:val="20"/>
              </w:rPr>
              <w:t xml:space="preserve"> into current public safety and security-focused programs.</w:t>
            </w:r>
          </w:p>
        </w:tc>
      </w:tr>
      <w:tr w:rsidR="0007700C" w:rsidRPr="00B31A9B" w14:paraId="757A29CC"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D9D9D9"/>
            <w:tcMar>
              <w:top w:w="115" w:type="dxa"/>
              <w:left w:w="115" w:type="dxa"/>
              <w:bottom w:w="115" w:type="dxa"/>
              <w:right w:w="115" w:type="dxa"/>
            </w:tcMar>
            <w:hideMark/>
          </w:tcPr>
          <w:p w14:paraId="617D31AD" w14:textId="77777777" w:rsidR="0007700C" w:rsidRPr="00B31A9B" w:rsidRDefault="0007700C" w:rsidP="00684EA1">
            <w:pPr>
              <w:spacing w:line="312" w:lineRule="auto"/>
              <w:jc w:val="center"/>
              <w:rPr>
                <w:b/>
                <w:bCs/>
                <w:sz w:val="20"/>
                <w:szCs w:val="20"/>
              </w:rPr>
            </w:pPr>
            <w:r w:rsidRPr="00B31A9B">
              <w:rPr>
                <w:b/>
                <w:bCs/>
                <w:color w:val="000000"/>
                <w:sz w:val="20"/>
                <w:szCs w:val="20"/>
              </w:rPr>
              <w:t>Funding Sources %</w:t>
            </w:r>
          </w:p>
        </w:tc>
        <w:tc>
          <w:tcPr>
            <w:tcW w:w="6245" w:type="dxa"/>
            <w:tcBorders>
              <w:top w:val="nil"/>
              <w:left w:val="nil"/>
              <w:bottom w:val="single" w:sz="8" w:space="0" w:color="auto"/>
              <w:right w:val="single" w:sz="8" w:space="0" w:color="auto"/>
            </w:tcBorders>
            <w:shd w:val="clear" w:color="auto" w:fill="D9D9D9"/>
            <w:tcMar>
              <w:top w:w="115" w:type="dxa"/>
              <w:left w:w="115" w:type="dxa"/>
              <w:bottom w:w="115" w:type="dxa"/>
              <w:right w:w="115" w:type="dxa"/>
            </w:tcMar>
            <w:hideMark/>
          </w:tcPr>
          <w:p w14:paraId="1AE7B781" w14:textId="77777777" w:rsidR="0007700C" w:rsidRPr="00B31A9B" w:rsidRDefault="0007700C" w:rsidP="00684EA1">
            <w:pPr>
              <w:jc w:val="center"/>
              <w:rPr>
                <w:b/>
                <w:bCs/>
                <w:sz w:val="20"/>
                <w:szCs w:val="20"/>
              </w:rPr>
            </w:pPr>
            <w:r w:rsidRPr="00B31A9B">
              <w:rPr>
                <w:b/>
                <w:bCs/>
                <w:color w:val="000000"/>
                <w:sz w:val="20"/>
                <w:szCs w:val="20"/>
              </w:rPr>
              <w:t>Purpose</w:t>
            </w:r>
          </w:p>
        </w:tc>
        <w:tc>
          <w:tcPr>
            <w:tcW w:w="5977" w:type="dxa"/>
            <w:tcBorders>
              <w:top w:val="nil"/>
              <w:left w:val="nil"/>
              <w:bottom w:val="single" w:sz="8" w:space="0" w:color="auto"/>
              <w:right w:val="single" w:sz="18" w:space="0" w:color="auto"/>
            </w:tcBorders>
            <w:shd w:val="clear" w:color="auto" w:fill="D9D9D9"/>
            <w:tcMar>
              <w:top w:w="115" w:type="dxa"/>
              <w:left w:w="115" w:type="dxa"/>
              <w:bottom w:w="115" w:type="dxa"/>
              <w:right w:w="115" w:type="dxa"/>
            </w:tcMar>
            <w:hideMark/>
          </w:tcPr>
          <w:p w14:paraId="46779ACB" w14:textId="77777777" w:rsidR="0007700C" w:rsidRPr="00B31A9B" w:rsidRDefault="0007700C" w:rsidP="00684EA1">
            <w:pPr>
              <w:jc w:val="center"/>
              <w:rPr>
                <w:b/>
                <w:bCs/>
                <w:sz w:val="20"/>
                <w:szCs w:val="20"/>
              </w:rPr>
            </w:pPr>
            <w:r w:rsidRPr="00B31A9B">
              <w:rPr>
                <w:b/>
                <w:bCs/>
                <w:color w:val="000000"/>
                <w:sz w:val="20"/>
                <w:szCs w:val="20"/>
              </w:rPr>
              <w:t>Projected Outcomes and Products</w:t>
            </w:r>
          </w:p>
        </w:tc>
      </w:tr>
      <w:tr w:rsidR="0007700C" w:rsidRPr="00B31A9B" w14:paraId="75A4412D" w14:textId="77777777" w:rsidTr="00684EA1">
        <w:trPr>
          <w:trHeight w:val="351"/>
        </w:trPr>
        <w:tc>
          <w:tcPr>
            <w:tcW w:w="2448" w:type="dxa"/>
            <w:tcBorders>
              <w:top w:val="nil"/>
              <w:left w:val="single" w:sz="18" w:space="0" w:color="auto"/>
              <w:bottom w:val="single" w:sz="18" w:space="0" w:color="auto"/>
              <w:right w:val="single" w:sz="8" w:space="0" w:color="auto"/>
            </w:tcBorders>
            <w:tcMar>
              <w:top w:w="115" w:type="dxa"/>
              <w:left w:w="115" w:type="dxa"/>
              <w:bottom w:w="115" w:type="dxa"/>
              <w:right w:w="115" w:type="dxa"/>
            </w:tcMar>
            <w:hideMark/>
          </w:tcPr>
          <w:p w14:paraId="6AA25EF5" w14:textId="77777777" w:rsidR="0007700C" w:rsidRPr="00B31A9B" w:rsidRDefault="00A04DD1" w:rsidP="00A04DD1">
            <w:pPr>
              <w:spacing w:line="312" w:lineRule="auto"/>
              <w:rPr>
                <w:sz w:val="20"/>
                <w:szCs w:val="20"/>
              </w:rPr>
            </w:pPr>
            <w:r>
              <w:rPr>
                <w:sz w:val="20"/>
                <w:szCs w:val="20"/>
              </w:rPr>
              <w:t>CO</w:t>
            </w:r>
            <w:r w:rsidR="0007700C" w:rsidRPr="00B31A9B">
              <w:rPr>
                <w:sz w:val="20"/>
                <w:szCs w:val="20"/>
              </w:rPr>
              <w:t xml:space="preserve">E </w:t>
            </w:r>
            <w:r>
              <w:rPr>
                <w:sz w:val="20"/>
                <w:szCs w:val="20"/>
              </w:rPr>
              <w:t>Resilience</w:t>
            </w:r>
            <w:r w:rsidR="0007700C" w:rsidRPr="00B31A9B">
              <w:rPr>
                <w:sz w:val="20"/>
                <w:szCs w:val="20"/>
              </w:rPr>
              <w:t xml:space="preserve"> - 100%</w:t>
            </w:r>
          </w:p>
        </w:tc>
        <w:tc>
          <w:tcPr>
            <w:tcW w:w="6245" w:type="dxa"/>
            <w:tcBorders>
              <w:top w:val="nil"/>
              <w:left w:val="nil"/>
              <w:bottom w:val="single" w:sz="18" w:space="0" w:color="auto"/>
              <w:right w:val="single" w:sz="8" w:space="0" w:color="auto"/>
            </w:tcBorders>
            <w:tcMar>
              <w:top w:w="115" w:type="dxa"/>
              <w:left w:w="115" w:type="dxa"/>
              <w:bottom w:w="115" w:type="dxa"/>
              <w:right w:w="115" w:type="dxa"/>
            </w:tcMar>
          </w:tcPr>
          <w:p w14:paraId="7221D3EA" w14:textId="77777777" w:rsidR="0007700C" w:rsidRPr="00274B08" w:rsidRDefault="0007700C" w:rsidP="00DF1DB4">
            <w:pPr>
              <w:numPr>
                <w:ilvl w:val="0"/>
                <w:numId w:val="11"/>
              </w:numPr>
              <w:rPr>
                <w:sz w:val="20"/>
                <w:szCs w:val="20"/>
              </w:rPr>
            </w:pPr>
            <w:r w:rsidRPr="00274B08">
              <w:rPr>
                <w:rFonts w:eastAsia="Times New Roman"/>
                <w:sz w:val="20"/>
                <w:szCs w:val="20"/>
              </w:rPr>
              <w:t xml:space="preserve">The Center, in consultation with other degree programs, will develop options for Certificates and a concentration topic for a degree program (e.g., OSH, Fire Command, EMT/EMS, etc.). </w:t>
            </w:r>
            <w:r w:rsidR="002D4E60" w:rsidRPr="00274B08">
              <w:rPr>
                <w:rFonts w:eastAsia="Times New Roman"/>
                <w:sz w:val="20"/>
                <w:szCs w:val="20"/>
              </w:rPr>
              <w:t>Goad:</w:t>
            </w:r>
            <w:r w:rsidRPr="00274B08">
              <w:rPr>
                <w:rFonts w:eastAsia="Times New Roman"/>
                <w:sz w:val="20"/>
                <w:szCs w:val="20"/>
              </w:rPr>
              <w:t xml:space="preserve"> </w:t>
            </w:r>
            <w:r w:rsidR="002D4E60" w:rsidRPr="00274B08">
              <w:rPr>
                <w:rFonts w:eastAsia="Times New Roman"/>
                <w:sz w:val="20"/>
                <w:szCs w:val="20"/>
              </w:rPr>
              <w:t>s</w:t>
            </w:r>
            <w:r w:rsidRPr="00274B08">
              <w:rPr>
                <w:rFonts w:eastAsia="Times New Roman"/>
                <w:sz w:val="20"/>
                <w:szCs w:val="20"/>
              </w:rPr>
              <w:t>ynchronize, customize, and standardize training to reach industry professionals and students quickly, efficiently, and cost-effectively.</w:t>
            </w:r>
          </w:p>
          <w:p w14:paraId="16CB9BF7" w14:textId="0AAFAC27" w:rsidR="006C1266" w:rsidRPr="006C1266" w:rsidRDefault="0007700C" w:rsidP="002855E4">
            <w:pPr>
              <w:numPr>
                <w:ilvl w:val="0"/>
                <w:numId w:val="11"/>
              </w:numPr>
              <w:rPr>
                <w:rFonts w:eastAsia="Times New Roman"/>
                <w:sz w:val="20"/>
                <w:szCs w:val="20"/>
              </w:rPr>
            </w:pPr>
            <w:r w:rsidRPr="00B31A9B">
              <w:rPr>
                <w:rFonts w:eastAsia="Times New Roman"/>
                <w:sz w:val="20"/>
                <w:szCs w:val="20"/>
              </w:rPr>
              <w:t xml:space="preserve">Implement a “vertical track” career pathway in </w:t>
            </w:r>
            <w:r w:rsidR="00274B08">
              <w:rPr>
                <w:rFonts w:eastAsia="Times New Roman"/>
                <w:sz w:val="20"/>
                <w:szCs w:val="20"/>
              </w:rPr>
              <w:t>Community Resilience</w:t>
            </w:r>
            <w:r w:rsidRPr="00B31A9B">
              <w:rPr>
                <w:rFonts w:eastAsia="Times New Roman"/>
                <w:sz w:val="20"/>
                <w:szCs w:val="20"/>
              </w:rPr>
              <w:t xml:space="preserve"> at all educational attainment levels. Will share model curriculum information, evaluate need/demand, skills gap information, and identify opportunities for specialized curriculum and certifications.</w:t>
            </w:r>
          </w:p>
          <w:p w14:paraId="1C2B1232" w14:textId="77777777" w:rsidR="0007700C" w:rsidRDefault="0007700C" w:rsidP="002855E4">
            <w:pPr>
              <w:numPr>
                <w:ilvl w:val="0"/>
                <w:numId w:val="11"/>
              </w:numPr>
              <w:rPr>
                <w:rFonts w:eastAsia="Times New Roman"/>
                <w:sz w:val="20"/>
                <w:szCs w:val="20"/>
              </w:rPr>
            </w:pPr>
            <w:r w:rsidRPr="00B31A9B">
              <w:rPr>
                <w:rFonts w:eastAsia="Times New Roman"/>
                <w:sz w:val="20"/>
                <w:szCs w:val="20"/>
              </w:rPr>
              <w:t>Communicate data/information to CTE educators to keep them abreast of new career cluster opportunities and best practices curriculum to help establish a K-12 pathway.</w:t>
            </w:r>
          </w:p>
          <w:p w14:paraId="3B65DC3C" w14:textId="77777777" w:rsidR="002855E4" w:rsidRPr="002855E4" w:rsidRDefault="001A2AC6" w:rsidP="00B6763C">
            <w:pPr>
              <w:pStyle w:val="ListParagraph"/>
              <w:numPr>
                <w:ilvl w:val="0"/>
                <w:numId w:val="11"/>
              </w:numPr>
              <w:spacing w:before="100" w:beforeAutospacing="1" w:after="100" w:afterAutospacing="1" w:line="240" w:lineRule="auto"/>
              <w:rPr>
                <w:rFonts w:eastAsia="Times New Roman"/>
              </w:rPr>
            </w:pPr>
            <w:hyperlink r:id="rId9" w:history="1">
              <w:r w:rsidR="002855E4" w:rsidRPr="00F2662F">
                <w:rPr>
                  <w:color w:val="0000FF"/>
                  <w:sz w:val="20"/>
                  <w:szCs w:val="20"/>
                  <w:u w:val="single"/>
                </w:rPr>
                <w:t>Washington Resilience Group | Office of Financial Management</w:t>
              </w:r>
            </w:hyperlink>
            <w:r w:rsidR="002855E4" w:rsidRPr="00F2662F">
              <w:rPr>
                <w:color w:val="0000FF"/>
                <w:sz w:val="20"/>
                <w:szCs w:val="20"/>
                <w:u w:val="single"/>
              </w:rPr>
              <w:t xml:space="preserve">  </w:t>
            </w:r>
            <w:r w:rsidR="002855E4" w:rsidRPr="00F2662F">
              <w:rPr>
                <w:rFonts w:eastAsia="Times New Roman"/>
                <w:sz w:val="20"/>
                <w:szCs w:val="20"/>
              </w:rPr>
              <w:t>October 2020, WA Resilience Group</w:t>
            </w:r>
            <w:r w:rsidR="00A72088" w:rsidRPr="00F2662F">
              <w:rPr>
                <w:rFonts w:eastAsia="Times New Roman"/>
                <w:sz w:val="20"/>
                <w:szCs w:val="20"/>
              </w:rPr>
              <w:t xml:space="preserve"> (</w:t>
            </w:r>
            <w:r w:rsidR="002855E4" w:rsidRPr="00F2662F">
              <w:rPr>
                <w:rFonts w:eastAsia="Times New Roman"/>
                <w:sz w:val="20"/>
                <w:szCs w:val="20"/>
              </w:rPr>
              <w:t xml:space="preserve">originally called </w:t>
            </w:r>
            <w:r w:rsidR="000C5AD1" w:rsidRPr="00F2662F">
              <w:rPr>
                <w:rFonts w:eastAsia="Times New Roman"/>
                <w:sz w:val="20"/>
                <w:szCs w:val="20"/>
              </w:rPr>
              <w:t>WRG</w:t>
            </w:r>
            <w:r w:rsidR="002855E4" w:rsidRPr="00F2662F">
              <w:rPr>
                <w:rFonts w:eastAsia="Times New Roman"/>
                <w:sz w:val="20"/>
                <w:szCs w:val="20"/>
              </w:rPr>
              <w:t xml:space="preserve">) played a </w:t>
            </w:r>
            <w:r w:rsidR="000C5AD1" w:rsidRPr="00F2662F">
              <w:rPr>
                <w:rFonts w:eastAsia="Times New Roman"/>
                <w:sz w:val="20"/>
                <w:szCs w:val="20"/>
              </w:rPr>
              <w:t>help in</w:t>
            </w:r>
            <w:r w:rsidR="002855E4" w:rsidRPr="00F2662F">
              <w:rPr>
                <w:rFonts w:eastAsia="Times New Roman"/>
                <w:sz w:val="20"/>
                <w:szCs w:val="20"/>
              </w:rPr>
              <w:t xml:space="preserve"> setting priorities that strengthen the resiliency of </w:t>
            </w:r>
            <w:r w:rsidR="000C5AD1" w:rsidRPr="00F2662F">
              <w:rPr>
                <w:rFonts w:eastAsia="Times New Roman"/>
                <w:sz w:val="20"/>
                <w:szCs w:val="20"/>
              </w:rPr>
              <w:t>WA</w:t>
            </w:r>
            <w:r w:rsidR="002855E4" w:rsidRPr="00F2662F">
              <w:rPr>
                <w:rFonts w:eastAsia="Times New Roman"/>
                <w:sz w:val="20"/>
                <w:szCs w:val="20"/>
              </w:rPr>
              <w:t xml:space="preserve"> state as it emerged from COVID. The Group worked together to plan and implement actions that supported an equitable and just recovery, strong communities and a robust economy.  </w:t>
            </w:r>
            <w:r w:rsidR="000C5AD1" w:rsidRPr="00F2662F">
              <w:rPr>
                <w:rFonts w:eastAsia="Times New Roman"/>
                <w:sz w:val="20"/>
                <w:szCs w:val="20"/>
              </w:rPr>
              <w:t>Work</w:t>
            </w:r>
            <w:r w:rsidR="002855E4" w:rsidRPr="00F2662F">
              <w:rPr>
                <w:rFonts w:eastAsia="Times New Roman"/>
                <w:sz w:val="20"/>
                <w:szCs w:val="20"/>
              </w:rPr>
              <w:t xml:space="preserve"> included efforts</w:t>
            </w:r>
            <w:r w:rsidR="000C5AD1" w:rsidRPr="00F2662F">
              <w:rPr>
                <w:rFonts w:eastAsia="Times New Roman"/>
                <w:sz w:val="20"/>
                <w:szCs w:val="20"/>
              </w:rPr>
              <w:t xml:space="preserve">:  </w:t>
            </w:r>
            <w:r w:rsidR="002855E4" w:rsidRPr="00F2662F">
              <w:rPr>
                <w:rFonts w:eastAsia="Times New Roman"/>
                <w:sz w:val="20"/>
                <w:szCs w:val="20"/>
              </w:rPr>
              <w:t xml:space="preserve">examine how the state </w:t>
            </w:r>
            <w:r w:rsidR="000C5AD1" w:rsidRPr="00F2662F">
              <w:rPr>
                <w:rFonts w:eastAsia="Times New Roman"/>
                <w:sz w:val="20"/>
                <w:szCs w:val="20"/>
              </w:rPr>
              <w:t>did</w:t>
            </w:r>
            <w:r w:rsidR="002855E4" w:rsidRPr="00F2662F">
              <w:rPr>
                <w:rFonts w:eastAsia="Times New Roman"/>
                <w:sz w:val="20"/>
                <w:szCs w:val="20"/>
              </w:rPr>
              <w:t xml:space="preserve"> business to increase th</w:t>
            </w:r>
            <w:r w:rsidR="000C5AD1" w:rsidRPr="00F2662F">
              <w:rPr>
                <w:rFonts w:eastAsia="Times New Roman"/>
                <w:sz w:val="20"/>
                <w:szCs w:val="20"/>
              </w:rPr>
              <w:t xml:space="preserve">e resilience of our communities, </w:t>
            </w:r>
            <w:r w:rsidR="002855E4" w:rsidRPr="00F2662F">
              <w:rPr>
                <w:rFonts w:eastAsia="Times New Roman"/>
                <w:sz w:val="20"/>
                <w:szCs w:val="20"/>
              </w:rPr>
              <w:t>health system, and economy.</w:t>
            </w:r>
            <w:r w:rsidR="000C5AD1" w:rsidRPr="00F2662F">
              <w:rPr>
                <w:rFonts w:eastAsia="Times New Roman"/>
                <w:sz w:val="20"/>
                <w:szCs w:val="20"/>
              </w:rPr>
              <w:t xml:space="preserve"> WRG worked collaboratively with state government/</w:t>
            </w:r>
            <w:r w:rsidR="002855E4" w:rsidRPr="00F2662F">
              <w:rPr>
                <w:rFonts w:eastAsia="Times New Roman"/>
                <w:sz w:val="20"/>
                <w:szCs w:val="20"/>
              </w:rPr>
              <w:t xml:space="preserve">community partners to </w:t>
            </w:r>
            <w:r w:rsidR="002855E4" w:rsidRPr="00F2662F">
              <w:rPr>
                <w:rFonts w:eastAsia="Times New Roman"/>
                <w:sz w:val="20"/>
                <w:szCs w:val="20"/>
              </w:rPr>
              <w:lastRenderedPageBreak/>
              <w:t>develop recommendations to improve service delivery and the customer experience.</w:t>
            </w:r>
            <w:r w:rsidR="002855E4" w:rsidRPr="002855E4">
              <w:rPr>
                <w:rFonts w:eastAsia="Times New Roman"/>
              </w:rPr>
              <w:t xml:space="preserve">  </w:t>
            </w:r>
          </w:p>
          <w:p w14:paraId="28102EB0" w14:textId="36A9CD3C" w:rsidR="00BE13B8" w:rsidRPr="00F2662F" w:rsidRDefault="001A2AC6" w:rsidP="00BE13B8">
            <w:pPr>
              <w:pStyle w:val="ListParagraph"/>
              <w:numPr>
                <w:ilvl w:val="0"/>
                <w:numId w:val="11"/>
              </w:numPr>
              <w:spacing w:before="100" w:beforeAutospacing="1" w:after="100" w:afterAutospacing="1"/>
              <w:rPr>
                <w:rFonts w:eastAsia="Times New Roman"/>
                <w:sz w:val="20"/>
                <w:szCs w:val="20"/>
              </w:rPr>
            </w:pPr>
            <w:hyperlink r:id="rId10" w:history="1">
              <w:r w:rsidR="002855E4" w:rsidRPr="00F2662F">
                <w:rPr>
                  <w:color w:val="0000FF"/>
                  <w:sz w:val="20"/>
                  <w:szCs w:val="20"/>
                  <w:u w:val="single"/>
                </w:rPr>
                <w:t>Resilient Washington State—A Framework for Minimizing Loss and Improving Statewide Recovery after an Earthquake; Final Report and Recommendations (2012)</w:t>
              </w:r>
            </w:hyperlink>
            <w:r w:rsidR="002855E4" w:rsidRPr="00F2662F">
              <w:rPr>
                <w:color w:val="0000FF"/>
                <w:sz w:val="20"/>
                <w:szCs w:val="20"/>
                <w:u w:val="single"/>
              </w:rPr>
              <w:t xml:space="preserve">  </w:t>
            </w:r>
            <w:r w:rsidR="002855E4" w:rsidRPr="00F2662F">
              <w:rPr>
                <w:sz w:val="20"/>
                <w:szCs w:val="20"/>
              </w:rPr>
              <w:t>2012 WA State Emergency Management Council and the Seismic Safety Committee published a report</w:t>
            </w:r>
            <w:r w:rsidR="000C5AD1" w:rsidRPr="00F2662F">
              <w:rPr>
                <w:sz w:val="20"/>
                <w:szCs w:val="20"/>
              </w:rPr>
              <w:t xml:space="preserve"> &amp;</w:t>
            </w:r>
            <w:r w:rsidR="002855E4" w:rsidRPr="00F2662F">
              <w:rPr>
                <w:sz w:val="20"/>
                <w:szCs w:val="20"/>
              </w:rPr>
              <w:t>recommendations for recovery after an earthquake.  The report provided a plan for improving our state’s resilience</w:t>
            </w:r>
            <w:r w:rsidR="000C5AD1" w:rsidRPr="00F2662F">
              <w:rPr>
                <w:sz w:val="20"/>
                <w:szCs w:val="20"/>
              </w:rPr>
              <w:t xml:space="preserve"> which included l</w:t>
            </w:r>
            <w:r w:rsidR="002855E4" w:rsidRPr="00F2662F">
              <w:rPr>
                <w:sz w:val="20"/>
                <w:szCs w:val="20"/>
              </w:rPr>
              <w:t>ife safety and human health, property protection, economic security, environmental quality,</w:t>
            </w:r>
            <w:r w:rsidR="000C5AD1" w:rsidRPr="00F2662F">
              <w:rPr>
                <w:sz w:val="20"/>
                <w:szCs w:val="20"/>
              </w:rPr>
              <w:t xml:space="preserve"> and community and continuity.  Products: </w:t>
            </w:r>
            <w:r w:rsidR="002855E4" w:rsidRPr="00F2662F">
              <w:rPr>
                <w:sz w:val="20"/>
                <w:szCs w:val="20"/>
              </w:rPr>
              <w:t xml:space="preserve"> assessment of recovery capacity of major systems and infrastructure, timeframe for each component to recover and 10</w:t>
            </w:r>
            <w:r w:rsidR="000C5AD1" w:rsidRPr="00F2662F">
              <w:rPr>
                <w:sz w:val="20"/>
                <w:szCs w:val="20"/>
              </w:rPr>
              <w:t xml:space="preserve"> specific</w:t>
            </w:r>
            <w:r w:rsidR="002855E4" w:rsidRPr="00F2662F">
              <w:rPr>
                <w:sz w:val="20"/>
                <w:szCs w:val="20"/>
              </w:rPr>
              <w:t xml:space="preserve"> recommendations for im</w:t>
            </w:r>
            <w:r w:rsidR="000C5AD1" w:rsidRPr="00F2662F">
              <w:rPr>
                <w:sz w:val="20"/>
                <w:szCs w:val="20"/>
              </w:rPr>
              <w:t>proving statewide resilience.</w:t>
            </w:r>
          </w:p>
        </w:tc>
        <w:tc>
          <w:tcPr>
            <w:tcW w:w="5977" w:type="dxa"/>
            <w:tcBorders>
              <w:top w:val="nil"/>
              <w:left w:val="nil"/>
              <w:bottom w:val="single" w:sz="18" w:space="0" w:color="auto"/>
              <w:right w:val="single" w:sz="18" w:space="0" w:color="auto"/>
            </w:tcBorders>
            <w:tcMar>
              <w:top w:w="115" w:type="dxa"/>
              <w:left w:w="115" w:type="dxa"/>
              <w:bottom w:w="115" w:type="dxa"/>
              <w:right w:w="115" w:type="dxa"/>
            </w:tcMar>
          </w:tcPr>
          <w:p w14:paraId="0FDBE54B" w14:textId="77777777" w:rsidR="0007700C" w:rsidRDefault="007E2905" w:rsidP="007E2905">
            <w:pPr>
              <w:pStyle w:val="ListParagraph"/>
              <w:numPr>
                <w:ilvl w:val="0"/>
                <w:numId w:val="36"/>
              </w:numPr>
              <w:rPr>
                <w:sz w:val="20"/>
                <w:szCs w:val="20"/>
              </w:rPr>
            </w:pPr>
            <w:r w:rsidRPr="007E2905">
              <w:rPr>
                <w:sz w:val="20"/>
                <w:szCs w:val="20"/>
              </w:rPr>
              <w:lastRenderedPageBreak/>
              <w:t>Board sub-committee will complete review of current data and assess capabilities and gaps in first quarter.</w:t>
            </w:r>
          </w:p>
          <w:p w14:paraId="01F816B6" w14:textId="77777777" w:rsidR="007E2905" w:rsidRDefault="007E2905" w:rsidP="007E2905">
            <w:pPr>
              <w:pStyle w:val="ListParagraph"/>
              <w:numPr>
                <w:ilvl w:val="0"/>
                <w:numId w:val="36"/>
              </w:numPr>
              <w:rPr>
                <w:sz w:val="20"/>
                <w:szCs w:val="20"/>
              </w:rPr>
            </w:pPr>
            <w:r>
              <w:rPr>
                <w:sz w:val="20"/>
                <w:szCs w:val="20"/>
              </w:rPr>
              <w:t>Recommend actions for identifying cultural types, skills needed/required, and strategies aligned culture and best practices.</w:t>
            </w:r>
          </w:p>
          <w:p w14:paraId="258BFAE4" w14:textId="77777777" w:rsidR="007E2905" w:rsidRDefault="007E2905" w:rsidP="007E2905">
            <w:pPr>
              <w:pStyle w:val="ListParagraph"/>
              <w:numPr>
                <w:ilvl w:val="0"/>
                <w:numId w:val="36"/>
              </w:numPr>
              <w:rPr>
                <w:sz w:val="20"/>
                <w:szCs w:val="20"/>
              </w:rPr>
            </w:pPr>
            <w:r>
              <w:rPr>
                <w:sz w:val="20"/>
                <w:szCs w:val="20"/>
              </w:rPr>
              <w:t>Possible current career options and opportunities that are available are:</w:t>
            </w:r>
          </w:p>
          <w:p w14:paraId="0624CE35" w14:textId="77777777" w:rsidR="007E2905" w:rsidRDefault="000C5AD1" w:rsidP="007E2905">
            <w:pPr>
              <w:pStyle w:val="ListParagraph"/>
              <w:numPr>
                <w:ilvl w:val="0"/>
                <w:numId w:val="37"/>
              </w:numPr>
              <w:rPr>
                <w:sz w:val="20"/>
                <w:szCs w:val="20"/>
              </w:rPr>
            </w:pPr>
            <w:r>
              <w:rPr>
                <w:sz w:val="20"/>
                <w:szCs w:val="20"/>
              </w:rPr>
              <w:t>Mission Critical Operators -</w:t>
            </w:r>
            <w:r w:rsidR="007E2905">
              <w:rPr>
                <w:sz w:val="20"/>
                <w:szCs w:val="20"/>
              </w:rPr>
              <w:t xml:space="preserve"> businesses that rely on continual operation defined as mission critical.</w:t>
            </w:r>
          </w:p>
          <w:p w14:paraId="4D077569" w14:textId="77777777" w:rsidR="007E2905" w:rsidRDefault="007E2905" w:rsidP="007E2905">
            <w:pPr>
              <w:pStyle w:val="ListParagraph"/>
              <w:numPr>
                <w:ilvl w:val="0"/>
                <w:numId w:val="37"/>
              </w:numPr>
              <w:rPr>
                <w:sz w:val="20"/>
                <w:szCs w:val="20"/>
              </w:rPr>
            </w:pPr>
            <w:r>
              <w:rPr>
                <w:sz w:val="20"/>
                <w:szCs w:val="20"/>
              </w:rPr>
              <w:t>International Crisis Communication –Lorraine Churchill table tops for youth; managing the message communication</w:t>
            </w:r>
          </w:p>
          <w:p w14:paraId="323012CA" w14:textId="77777777" w:rsidR="000C5AD1" w:rsidRDefault="000C5AD1" w:rsidP="007E2905">
            <w:pPr>
              <w:pStyle w:val="ListParagraph"/>
              <w:numPr>
                <w:ilvl w:val="0"/>
                <w:numId w:val="37"/>
              </w:numPr>
              <w:rPr>
                <w:sz w:val="20"/>
                <w:szCs w:val="20"/>
              </w:rPr>
            </w:pPr>
            <w:r>
              <w:rPr>
                <w:sz w:val="20"/>
                <w:szCs w:val="20"/>
              </w:rPr>
              <w:t>Disaster/Mental Health Intervention Certificate</w:t>
            </w:r>
          </w:p>
          <w:p w14:paraId="794D9A75" w14:textId="77777777" w:rsidR="007E2905" w:rsidRDefault="007E2905" w:rsidP="007E2905">
            <w:pPr>
              <w:pStyle w:val="ListParagraph"/>
              <w:numPr>
                <w:ilvl w:val="0"/>
                <w:numId w:val="37"/>
              </w:numPr>
              <w:rPr>
                <w:sz w:val="20"/>
                <w:szCs w:val="20"/>
              </w:rPr>
            </w:pPr>
            <w:r>
              <w:rPr>
                <w:sz w:val="20"/>
                <w:szCs w:val="20"/>
              </w:rPr>
              <w:t xml:space="preserve"> Risk and Emergency Management in Private Sector</w:t>
            </w:r>
          </w:p>
          <w:p w14:paraId="312B7ADB" w14:textId="77777777" w:rsidR="004629B9" w:rsidRDefault="007E2905" w:rsidP="007E2905">
            <w:pPr>
              <w:pStyle w:val="ListParagraph"/>
              <w:numPr>
                <w:ilvl w:val="0"/>
                <w:numId w:val="37"/>
              </w:numPr>
              <w:rPr>
                <w:sz w:val="20"/>
                <w:szCs w:val="20"/>
              </w:rPr>
            </w:pPr>
            <w:r>
              <w:rPr>
                <w:sz w:val="20"/>
                <w:szCs w:val="20"/>
              </w:rPr>
              <w:t>Climate Change curriculum –integrate change into courses across the disciplines: resources prepare for the cognitive, political and emotional complexities of teach climate change</w:t>
            </w:r>
          </w:p>
          <w:p w14:paraId="6C15033D" w14:textId="77777777" w:rsidR="007E2905" w:rsidRDefault="004629B9" w:rsidP="007E2905">
            <w:pPr>
              <w:pStyle w:val="ListParagraph"/>
              <w:numPr>
                <w:ilvl w:val="0"/>
                <w:numId w:val="37"/>
              </w:numPr>
              <w:rPr>
                <w:sz w:val="20"/>
                <w:szCs w:val="20"/>
              </w:rPr>
            </w:pPr>
            <w:r>
              <w:rPr>
                <w:sz w:val="20"/>
                <w:szCs w:val="20"/>
              </w:rPr>
              <w:t>Tribal Partners- Julie Jefferson–lead</w:t>
            </w:r>
          </w:p>
          <w:p w14:paraId="7D2A39A3" w14:textId="77777777" w:rsidR="004629B9" w:rsidRDefault="004629B9" w:rsidP="007E2905">
            <w:pPr>
              <w:pStyle w:val="ListParagraph"/>
              <w:numPr>
                <w:ilvl w:val="0"/>
                <w:numId w:val="37"/>
              </w:numPr>
              <w:rPr>
                <w:sz w:val="20"/>
                <w:szCs w:val="20"/>
              </w:rPr>
            </w:pPr>
            <w:r>
              <w:rPr>
                <w:sz w:val="20"/>
                <w:szCs w:val="20"/>
              </w:rPr>
              <w:t>State Board Climate Change</w:t>
            </w:r>
          </w:p>
          <w:p w14:paraId="57F2136E" w14:textId="77777777" w:rsidR="004629B9" w:rsidRDefault="004629B9" w:rsidP="007E2905">
            <w:pPr>
              <w:pStyle w:val="ListParagraph"/>
              <w:numPr>
                <w:ilvl w:val="0"/>
                <w:numId w:val="37"/>
              </w:numPr>
              <w:rPr>
                <w:sz w:val="20"/>
                <w:szCs w:val="20"/>
              </w:rPr>
            </w:pPr>
            <w:r>
              <w:rPr>
                <w:sz w:val="20"/>
                <w:szCs w:val="20"/>
              </w:rPr>
              <w:lastRenderedPageBreak/>
              <w:t>CHUMRA data available and reports have been compl</w:t>
            </w:r>
            <w:r w:rsidR="00133568">
              <w:rPr>
                <w:sz w:val="20"/>
                <w:szCs w:val="20"/>
              </w:rPr>
              <w:t xml:space="preserve">eted and will be updated for </w:t>
            </w:r>
            <w:r>
              <w:rPr>
                <w:sz w:val="20"/>
                <w:szCs w:val="20"/>
              </w:rPr>
              <w:t xml:space="preserve">colleges and partners. </w:t>
            </w:r>
          </w:p>
          <w:p w14:paraId="7CE04E7B" w14:textId="77777777" w:rsidR="007E2905" w:rsidRPr="007E2905" w:rsidRDefault="007E2905" w:rsidP="007E2905">
            <w:pPr>
              <w:pStyle w:val="ListParagraph"/>
              <w:rPr>
                <w:sz w:val="20"/>
                <w:szCs w:val="20"/>
              </w:rPr>
            </w:pPr>
          </w:p>
          <w:p w14:paraId="442FB7A0" w14:textId="77777777" w:rsidR="007E2905" w:rsidRPr="007E2905" w:rsidRDefault="007E2905" w:rsidP="007E2905">
            <w:pPr>
              <w:rPr>
                <w:sz w:val="20"/>
                <w:szCs w:val="20"/>
              </w:rPr>
            </w:pPr>
          </w:p>
        </w:tc>
      </w:tr>
      <w:tr w:rsidR="0007700C" w:rsidRPr="00B31A9B" w14:paraId="7CCFCC12" w14:textId="77777777" w:rsidTr="00684EA1">
        <w:trPr>
          <w:trHeight w:val="351"/>
        </w:trPr>
        <w:tc>
          <w:tcPr>
            <w:tcW w:w="14670" w:type="dxa"/>
            <w:gridSpan w:val="3"/>
            <w:tcBorders>
              <w:top w:val="nil"/>
              <w:left w:val="single" w:sz="18" w:space="0" w:color="auto"/>
              <w:bottom w:val="single" w:sz="8" w:space="0" w:color="auto"/>
              <w:right w:val="single" w:sz="18" w:space="0" w:color="auto"/>
            </w:tcBorders>
            <w:shd w:val="clear" w:color="auto" w:fill="D9D9D9"/>
            <w:tcMar>
              <w:top w:w="115" w:type="dxa"/>
              <w:left w:w="115" w:type="dxa"/>
              <w:bottom w:w="115" w:type="dxa"/>
              <w:right w:w="115" w:type="dxa"/>
            </w:tcMar>
            <w:vAlign w:val="center"/>
            <w:hideMark/>
          </w:tcPr>
          <w:p w14:paraId="39654333" w14:textId="77777777" w:rsidR="0007700C" w:rsidRPr="00B31A9B" w:rsidRDefault="0007700C" w:rsidP="00684EA1">
            <w:pPr>
              <w:spacing w:line="312" w:lineRule="auto"/>
              <w:jc w:val="center"/>
              <w:rPr>
                <w:b/>
                <w:bCs/>
                <w:sz w:val="20"/>
                <w:szCs w:val="20"/>
              </w:rPr>
            </w:pPr>
            <w:r w:rsidRPr="00B31A9B">
              <w:rPr>
                <w:b/>
                <w:bCs/>
                <w:color w:val="000000"/>
                <w:sz w:val="20"/>
                <w:szCs w:val="20"/>
              </w:rPr>
              <w:lastRenderedPageBreak/>
              <w:t>Report and Analysis on Actual Outcomes and Products</w:t>
            </w:r>
          </w:p>
        </w:tc>
      </w:tr>
      <w:tr w:rsidR="0007700C" w:rsidRPr="00B31A9B" w14:paraId="5076BD09"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4AD4D8DB" w14:textId="77777777" w:rsidR="0007700C" w:rsidRPr="00B31A9B" w:rsidRDefault="0007700C" w:rsidP="00684EA1">
            <w:pPr>
              <w:rPr>
                <w:b/>
                <w:bCs/>
                <w:sz w:val="20"/>
                <w:szCs w:val="20"/>
              </w:rPr>
            </w:pPr>
            <w:r w:rsidRPr="00B31A9B">
              <w:rPr>
                <w:b/>
                <w:bCs/>
                <w:color w:val="000000"/>
                <w:sz w:val="20"/>
                <w:szCs w:val="20"/>
              </w:rPr>
              <w:t>Quarter 1</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7588A40A" w14:textId="5785E3AC" w:rsidR="0007700C" w:rsidRDefault="00287264" w:rsidP="00287264">
            <w:pPr>
              <w:pStyle w:val="ListParagraph"/>
              <w:numPr>
                <w:ilvl w:val="1"/>
                <w:numId w:val="36"/>
              </w:numPr>
              <w:rPr>
                <w:sz w:val="20"/>
                <w:szCs w:val="20"/>
              </w:rPr>
            </w:pPr>
            <w:r>
              <w:rPr>
                <w:sz w:val="20"/>
                <w:szCs w:val="20"/>
              </w:rPr>
              <w:t>Subcommittee with Fire, OSH &amp; EM have completed their review. No recommendations have been made.</w:t>
            </w:r>
          </w:p>
          <w:p w14:paraId="182ED42D" w14:textId="77777777" w:rsidR="00287264" w:rsidRDefault="00287264" w:rsidP="00287264">
            <w:pPr>
              <w:pStyle w:val="ListParagraph"/>
              <w:numPr>
                <w:ilvl w:val="1"/>
                <w:numId w:val="36"/>
              </w:numPr>
              <w:rPr>
                <w:sz w:val="20"/>
                <w:szCs w:val="20"/>
              </w:rPr>
            </w:pPr>
            <w:r>
              <w:rPr>
                <w:sz w:val="20"/>
                <w:szCs w:val="20"/>
              </w:rPr>
              <w:t>Reports have been produced for partners and colleges with CJ, OSH, Fire, and EM</w:t>
            </w:r>
          </w:p>
          <w:p w14:paraId="791952A2" w14:textId="77777777" w:rsidR="00287264" w:rsidRDefault="00287264" w:rsidP="00287264">
            <w:pPr>
              <w:pStyle w:val="ListParagraph"/>
              <w:numPr>
                <w:ilvl w:val="1"/>
                <w:numId w:val="36"/>
              </w:numPr>
              <w:rPr>
                <w:sz w:val="20"/>
                <w:szCs w:val="20"/>
              </w:rPr>
            </w:pPr>
            <w:r>
              <w:rPr>
                <w:sz w:val="20"/>
                <w:szCs w:val="20"/>
              </w:rPr>
              <w:t>New Fire Service surveys were completed and data was provided to colleges, OFM, Gov’s office and other state agencies.</w:t>
            </w:r>
          </w:p>
          <w:p w14:paraId="62902F62" w14:textId="3A81B380" w:rsidR="00287264" w:rsidRPr="00287264" w:rsidRDefault="00287264" w:rsidP="00287264">
            <w:pPr>
              <w:pStyle w:val="ListParagraph"/>
              <w:numPr>
                <w:ilvl w:val="1"/>
                <w:numId w:val="36"/>
              </w:numPr>
              <w:rPr>
                <w:sz w:val="20"/>
                <w:szCs w:val="20"/>
              </w:rPr>
            </w:pPr>
            <w:r>
              <w:rPr>
                <w:sz w:val="20"/>
                <w:szCs w:val="20"/>
              </w:rPr>
              <w:t>Reviewed list of opportunities and options that are available but will need to add in resources to follow up.</w:t>
            </w:r>
          </w:p>
        </w:tc>
      </w:tr>
      <w:tr w:rsidR="0007700C" w:rsidRPr="00B31A9B" w14:paraId="6A85DA02"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763ED476" w14:textId="77777777" w:rsidR="0007700C" w:rsidRPr="00B31A9B" w:rsidRDefault="0007700C" w:rsidP="00684EA1">
            <w:pPr>
              <w:rPr>
                <w:b/>
                <w:bCs/>
                <w:sz w:val="20"/>
                <w:szCs w:val="20"/>
              </w:rPr>
            </w:pPr>
            <w:r w:rsidRPr="00B31A9B">
              <w:rPr>
                <w:b/>
                <w:bCs/>
                <w:color w:val="000000"/>
                <w:sz w:val="20"/>
                <w:szCs w:val="20"/>
              </w:rPr>
              <w:t>Quarter 2</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6369BD08" w14:textId="77777777" w:rsidR="0007700C" w:rsidRPr="00B31A9B" w:rsidRDefault="0007700C" w:rsidP="00684EA1">
            <w:pPr>
              <w:spacing w:line="312" w:lineRule="auto"/>
              <w:rPr>
                <w:sz w:val="20"/>
                <w:szCs w:val="20"/>
              </w:rPr>
            </w:pPr>
          </w:p>
        </w:tc>
      </w:tr>
      <w:tr w:rsidR="0007700C" w:rsidRPr="00B31A9B" w14:paraId="5D7BA278"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2C097377" w14:textId="77777777" w:rsidR="0007700C" w:rsidRPr="00B31A9B" w:rsidRDefault="0007700C" w:rsidP="00684EA1">
            <w:pPr>
              <w:rPr>
                <w:b/>
                <w:bCs/>
                <w:sz w:val="20"/>
                <w:szCs w:val="20"/>
              </w:rPr>
            </w:pPr>
            <w:r w:rsidRPr="00B31A9B">
              <w:rPr>
                <w:b/>
                <w:bCs/>
                <w:color w:val="000000"/>
                <w:sz w:val="20"/>
                <w:szCs w:val="20"/>
              </w:rPr>
              <w:t>Quarter 3</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019F75EC" w14:textId="77777777" w:rsidR="0007700C" w:rsidRPr="005E4B74" w:rsidRDefault="0007700C" w:rsidP="00684EA1">
            <w:pPr>
              <w:rPr>
                <w:sz w:val="20"/>
                <w:szCs w:val="20"/>
              </w:rPr>
            </w:pPr>
            <w:r>
              <w:rPr>
                <w:sz w:val="20"/>
                <w:szCs w:val="20"/>
              </w:rPr>
              <w:t xml:space="preserve"> </w:t>
            </w:r>
          </w:p>
        </w:tc>
      </w:tr>
      <w:tr w:rsidR="0007700C" w:rsidRPr="00B31A9B" w14:paraId="0BBB0EF2"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6B14B739" w14:textId="77777777" w:rsidR="0007700C" w:rsidRPr="00B31A9B" w:rsidRDefault="0007700C" w:rsidP="00684EA1">
            <w:pPr>
              <w:rPr>
                <w:b/>
                <w:bCs/>
                <w:sz w:val="20"/>
                <w:szCs w:val="20"/>
              </w:rPr>
            </w:pPr>
            <w:r w:rsidRPr="00B31A9B">
              <w:rPr>
                <w:b/>
                <w:bCs/>
                <w:color w:val="000000"/>
                <w:sz w:val="20"/>
                <w:szCs w:val="20"/>
              </w:rPr>
              <w:t>Quarter 4</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14C60503" w14:textId="77777777" w:rsidR="0007700C" w:rsidRPr="00B31A9B" w:rsidRDefault="0007700C" w:rsidP="00684EA1">
            <w:pPr>
              <w:rPr>
                <w:sz w:val="20"/>
                <w:szCs w:val="20"/>
              </w:rPr>
            </w:pPr>
          </w:p>
        </w:tc>
      </w:tr>
      <w:tr w:rsidR="0007700C" w:rsidRPr="00B31A9B" w14:paraId="7FC218B1"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22391F00" w14:textId="77777777" w:rsidR="0007700C" w:rsidRPr="00B31A9B" w:rsidRDefault="0007700C" w:rsidP="00684EA1">
            <w:pPr>
              <w:rPr>
                <w:b/>
                <w:bCs/>
                <w:sz w:val="20"/>
                <w:szCs w:val="20"/>
              </w:rPr>
            </w:pPr>
            <w:r w:rsidRPr="00B31A9B">
              <w:rPr>
                <w:b/>
                <w:bCs/>
                <w:color w:val="000000"/>
                <w:sz w:val="20"/>
                <w:szCs w:val="20"/>
              </w:rPr>
              <w:t>Analysis Quarter #1</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0467089D" w14:textId="39A792E8" w:rsidR="0007700C" w:rsidRPr="00B31A9B" w:rsidRDefault="00287264" w:rsidP="00684EA1">
            <w:pPr>
              <w:rPr>
                <w:sz w:val="20"/>
                <w:szCs w:val="20"/>
              </w:rPr>
            </w:pPr>
            <w:r>
              <w:rPr>
                <w:sz w:val="20"/>
                <w:szCs w:val="20"/>
              </w:rPr>
              <w:t>As previously stated, t</w:t>
            </w:r>
            <w:r>
              <w:rPr>
                <w:sz w:val="20"/>
                <w:szCs w:val="20"/>
              </w:rPr>
              <w:t>he Center received a full-time permanent program manager and a part-time permanent project specialist in August 2023 to</w:t>
            </w:r>
            <w:r>
              <w:rPr>
                <w:sz w:val="20"/>
                <w:szCs w:val="20"/>
              </w:rPr>
              <w:t xml:space="preserve"> review the list of opportunities and options in order to</w:t>
            </w:r>
            <w:r>
              <w:rPr>
                <w:sz w:val="20"/>
                <w:szCs w:val="20"/>
              </w:rPr>
              <w:t xml:space="preserve"> </w:t>
            </w:r>
            <w:r>
              <w:rPr>
                <w:sz w:val="20"/>
                <w:szCs w:val="20"/>
              </w:rPr>
              <w:t>produce</w:t>
            </w:r>
            <w:r>
              <w:rPr>
                <w:sz w:val="20"/>
                <w:szCs w:val="20"/>
              </w:rPr>
              <w:t xml:space="preserve"> workforce trends/dat</w:t>
            </w:r>
            <w:r>
              <w:rPr>
                <w:sz w:val="20"/>
                <w:szCs w:val="20"/>
              </w:rPr>
              <w:t>a</w:t>
            </w:r>
            <w:r>
              <w:rPr>
                <w:sz w:val="20"/>
                <w:szCs w:val="20"/>
              </w:rPr>
              <w:t>. Due to the cyber security incident that happened to Pierce College from July 24, 2023 – Sept. 2023, email accounts and computers were inaccessible. All Center staff have been in the process of recovering as much information as they can prior to the inciden</w:t>
            </w:r>
            <w:r>
              <w:rPr>
                <w:sz w:val="20"/>
                <w:szCs w:val="20"/>
              </w:rPr>
              <w:t>t, but are improving on the recovery process.</w:t>
            </w:r>
          </w:p>
        </w:tc>
      </w:tr>
      <w:tr w:rsidR="0007700C" w:rsidRPr="00B31A9B" w14:paraId="6D8D6532"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59712D20" w14:textId="5CAA80F8" w:rsidR="0007700C" w:rsidRDefault="0007700C" w:rsidP="00684EA1">
            <w:pPr>
              <w:rPr>
                <w:b/>
                <w:bCs/>
                <w:color w:val="000000"/>
                <w:sz w:val="20"/>
                <w:szCs w:val="20"/>
              </w:rPr>
            </w:pPr>
            <w:r>
              <w:rPr>
                <w:b/>
                <w:bCs/>
                <w:color w:val="000000"/>
                <w:sz w:val="20"/>
                <w:szCs w:val="20"/>
              </w:rPr>
              <w:t>Analysis Quarter #2</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65DD1577" w14:textId="77777777" w:rsidR="0007700C" w:rsidRPr="00B31A9B" w:rsidRDefault="0007700C" w:rsidP="00684EA1">
            <w:pPr>
              <w:rPr>
                <w:sz w:val="20"/>
                <w:szCs w:val="20"/>
              </w:rPr>
            </w:pPr>
          </w:p>
        </w:tc>
      </w:tr>
      <w:tr w:rsidR="0007700C" w:rsidRPr="00B31A9B" w14:paraId="74572972"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3EE45A2D" w14:textId="168DE583" w:rsidR="0007700C" w:rsidRPr="00B31A9B" w:rsidRDefault="0007700C" w:rsidP="00684EA1">
            <w:pPr>
              <w:rPr>
                <w:b/>
                <w:bCs/>
                <w:color w:val="000000"/>
                <w:sz w:val="20"/>
                <w:szCs w:val="20"/>
              </w:rPr>
            </w:pPr>
            <w:r>
              <w:rPr>
                <w:b/>
                <w:bCs/>
                <w:color w:val="000000"/>
                <w:sz w:val="20"/>
                <w:szCs w:val="20"/>
              </w:rPr>
              <w:t>Analysis Quarter #3</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59643521" w14:textId="77777777" w:rsidR="0007700C" w:rsidRPr="00B31A9B" w:rsidRDefault="0007700C" w:rsidP="00684EA1">
            <w:pPr>
              <w:rPr>
                <w:sz w:val="20"/>
                <w:szCs w:val="20"/>
              </w:rPr>
            </w:pPr>
          </w:p>
        </w:tc>
      </w:tr>
      <w:tr w:rsidR="0007700C" w:rsidRPr="00B31A9B" w14:paraId="0C81C933"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4EDE0149" w14:textId="77777777" w:rsidR="0007700C" w:rsidRDefault="0007700C" w:rsidP="00684EA1">
            <w:pPr>
              <w:rPr>
                <w:b/>
                <w:bCs/>
                <w:color w:val="000000"/>
                <w:sz w:val="20"/>
                <w:szCs w:val="20"/>
              </w:rPr>
            </w:pPr>
            <w:r>
              <w:rPr>
                <w:b/>
                <w:bCs/>
                <w:color w:val="000000"/>
                <w:sz w:val="20"/>
                <w:szCs w:val="20"/>
              </w:rPr>
              <w:lastRenderedPageBreak/>
              <w:t>Analysis Quarter #4</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35E42590" w14:textId="77777777" w:rsidR="0007700C" w:rsidRPr="00B31A9B" w:rsidRDefault="0007700C" w:rsidP="00684EA1">
            <w:pPr>
              <w:rPr>
                <w:sz w:val="20"/>
                <w:szCs w:val="20"/>
              </w:rPr>
            </w:pPr>
          </w:p>
        </w:tc>
      </w:tr>
    </w:tbl>
    <w:p w14:paraId="6A1072BB" w14:textId="77777777" w:rsidR="0007700C" w:rsidRDefault="0007700C" w:rsidP="00B31A9B">
      <w:pPr>
        <w:rPr>
          <w:sz w:val="20"/>
          <w:szCs w:val="20"/>
        </w:rPr>
      </w:pPr>
    </w:p>
    <w:p w14:paraId="140E5B89" w14:textId="77777777" w:rsidR="00054556" w:rsidRDefault="00054556" w:rsidP="00B31A9B">
      <w:pPr>
        <w:rPr>
          <w:sz w:val="20"/>
          <w:szCs w:val="20"/>
        </w:rPr>
      </w:pPr>
    </w:p>
    <w:p w14:paraId="471CF808" w14:textId="5163AFDB" w:rsidR="0007700C" w:rsidRDefault="0007700C">
      <w:pPr>
        <w:spacing w:after="160" w:line="259" w:lineRule="auto"/>
        <w:rPr>
          <w:sz w:val="20"/>
          <w:szCs w:val="20"/>
        </w:rPr>
      </w:pPr>
    </w:p>
    <w:p w14:paraId="3D643707" w14:textId="77777777" w:rsidR="0007700C" w:rsidRDefault="0007700C" w:rsidP="00B31A9B">
      <w:pPr>
        <w:rPr>
          <w:sz w:val="20"/>
          <w:szCs w:val="20"/>
        </w:rPr>
      </w:pPr>
    </w:p>
    <w:tbl>
      <w:tblPr>
        <w:tblW w:w="14670" w:type="dxa"/>
        <w:tblCellMar>
          <w:left w:w="0" w:type="dxa"/>
          <w:right w:w="0" w:type="dxa"/>
        </w:tblCellMar>
        <w:tblLook w:val="04A0" w:firstRow="1" w:lastRow="0" w:firstColumn="1" w:lastColumn="0" w:noHBand="0" w:noVBand="1"/>
      </w:tblPr>
      <w:tblGrid>
        <w:gridCol w:w="2448"/>
        <w:gridCol w:w="6245"/>
        <w:gridCol w:w="5977"/>
      </w:tblGrid>
      <w:tr w:rsidR="0007700C" w:rsidRPr="00B31A9B" w14:paraId="3A8C6DAB" w14:textId="77777777" w:rsidTr="00684EA1">
        <w:trPr>
          <w:trHeight w:val="55"/>
        </w:trPr>
        <w:tc>
          <w:tcPr>
            <w:tcW w:w="2448" w:type="dxa"/>
            <w:tcBorders>
              <w:top w:val="single" w:sz="18" w:space="0" w:color="auto"/>
              <w:left w:val="single" w:sz="18" w:space="0" w:color="auto"/>
              <w:bottom w:val="single" w:sz="8" w:space="0" w:color="auto"/>
              <w:right w:val="single" w:sz="8" w:space="0" w:color="auto"/>
            </w:tcBorders>
            <w:shd w:val="clear" w:color="auto" w:fill="D9D9D9"/>
            <w:tcMar>
              <w:top w:w="115" w:type="dxa"/>
              <w:left w:w="115" w:type="dxa"/>
              <w:bottom w:w="115" w:type="dxa"/>
              <w:right w:w="115" w:type="dxa"/>
            </w:tcMar>
            <w:vAlign w:val="center"/>
            <w:hideMark/>
          </w:tcPr>
          <w:p w14:paraId="489FE581" w14:textId="77777777" w:rsidR="0007700C" w:rsidRPr="00B31A9B" w:rsidRDefault="0007700C" w:rsidP="00684EA1">
            <w:pPr>
              <w:jc w:val="center"/>
              <w:rPr>
                <w:b/>
                <w:bCs/>
                <w:sz w:val="20"/>
                <w:szCs w:val="20"/>
              </w:rPr>
            </w:pPr>
            <w:r w:rsidRPr="00B31A9B">
              <w:rPr>
                <w:rFonts w:eastAsia="Times New Roman"/>
                <w:b/>
                <w:bCs/>
                <w:sz w:val="20"/>
                <w:szCs w:val="20"/>
              </w:rPr>
              <w:br w:type="page"/>
            </w:r>
            <w:r w:rsidRPr="00B31A9B">
              <w:rPr>
                <w:b/>
                <w:bCs/>
                <w:color w:val="000000"/>
                <w:sz w:val="20"/>
                <w:szCs w:val="20"/>
              </w:rPr>
              <w:t>Core Expectations</w:t>
            </w:r>
            <w:r w:rsidRPr="00B31A9B">
              <w:rPr>
                <w:color w:val="000000"/>
                <w:sz w:val="20"/>
                <w:szCs w:val="20"/>
              </w:rPr>
              <w:br w:type="page"/>
            </w:r>
          </w:p>
        </w:tc>
        <w:tc>
          <w:tcPr>
            <w:tcW w:w="12222" w:type="dxa"/>
            <w:gridSpan w:val="2"/>
            <w:tcBorders>
              <w:top w:val="single" w:sz="18" w:space="0" w:color="auto"/>
              <w:left w:val="nil"/>
              <w:bottom w:val="single" w:sz="8" w:space="0" w:color="auto"/>
              <w:right w:val="single" w:sz="18" w:space="0" w:color="auto"/>
            </w:tcBorders>
            <w:shd w:val="clear" w:color="auto" w:fill="D9D9D9"/>
            <w:tcMar>
              <w:top w:w="115" w:type="dxa"/>
              <w:left w:w="115" w:type="dxa"/>
              <w:bottom w:w="115" w:type="dxa"/>
              <w:right w:w="115" w:type="dxa"/>
            </w:tcMar>
            <w:vAlign w:val="center"/>
            <w:hideMark/>
          </w:tcPr>
          <w:p w14:paraId="39345729" w14:textId="77777777" w:rsidR="0007700C" w:rsidRDefault="00254563" w:rsidP="00684EA1">
            <w:pPr>
              <w:jc w:val="center"/>
              <w:rPr>
                <w:b/>
                <w:bCs/>
                <w:color w:val="000000"/>
                <w:sz w:val="20"/>
                <w:szCs w:val="20"/>
              </w:rPr>
            </w:pPr>
            <w:r>
              <w:rPr>
                <w:b/>
                <w:bCs/>
                <w:color w:val="000000"/>
                <w:sz w:val="20"/>
                <w:szCs w:val="20"/>
              </w:rPr>
              <w:t>Activity #4</w:t>
            </w:r>
          </w:p>
          <w:p w14:paraId="28009CCF" w14:textId="77777777" w:rsidR="0007700C" w:rsidRPr="00B31A9B" w:rsidRDefault="00254563" w:rsidP="00684EA1">
            <w:pPr>
              <w:jc w:val="center"/>
              <w:rPr>
                <w:b/>
                <w:bCs/>
                <w:sz w:val="20"/>
                <w:szCs w:val="20"/>
              </w:rPr>
            </w:pPr>
            <w:r>
              <w:rPr>
                <w:b/>
                <w:bCs/>
                <w:color w:val="000000"/>
                <w:sz w:val="20"/>
                <w:szCs w:val="20"/>
              </w:rPr>
              <w:t xml:space="preserve">Work Experience Marketplace </w:t>
            </w:r>
            <w:r w:rsidR="0007700C">
              <w:rPr>
                <w:b/>
                <w:bCs/>
                <w:color w:val="000000"/>
                <w:sz w:val="20"/>
                <w:szCs w:val="20"/>
              </w:rPr>
              <w:t xml:space="preserve"> </w:t>
            </w:r>
          </w:p>
        </w:tc>
      </w:tr>
      <w:tr w:rsidR="0007700C" w:rsidRPr="00B31A9B" w14:paraId="37EF7817" w14:textId="77777777" w:rsidTr="00684EA1">
        <w:trPr>
          <w:trHeight w:val="775"/>
        </w:trPr>
        <w:tc>
          <w:tcPr>
            <w:tcW w:w="2448" w:type="dxa"/>
            <w:tcBorders>
              <w:top w:val="nil"/>
              <w:left w:val="single" w:sz="18" w:space="0" w:color="auto"/>
              <w:bottom w:val="single" w:sz="8" w:space="0" w:color="auto"/>
              <w:right w:val="single" w:sz="8" w:space="0" w:color="auto"/>
            </w:tcBorders>
            <w:tcMar>
              <w:top w:w="115" w:type="dxa"/>
              <w:left w:w="115" w:type="dxa"/>
              <w:bottom w:w="115" w:type="dxa"/>
              <w:right w:w="115" w:type="dxa"/>
            </w:tcMar>
            <w:vAlign w:val="center"/>
            <w:hideMark/>
          </w:tcPr>
          <w:p w14:paraId="38580300" w14:textId="77777777" w:rsidR="0007700C" w:rsidRPr="00B31A9B" w:rsidRDefault="001A2AC6" w:rsidP="00684EA1">
            <w:pPr>
              <w:spacing w:line="480" w:lineRule="auto"/>
              <w:rPr>
                <w:sz w:val="20"/>
                <w:szCs w:val="20"/>
              </w:rPr>
            </w:pPr>
            <w:sdt>
              <w:sdtPr>
                <w:rPr>
                  <w:sz w:val="20"/>
                  <w:szCs w:val="20"/>
                </w:rPr>
                <w:id w:val="1135136867"/>
                <w14:checkbox>
                  <w14:checked w14:val="1"/>
                  <w14:checkedState w14:val="2612" w14:font="MS Gothic"/>
                  <w14:uncheckedState w14:val="2610" w14:font="MS Gothic"/>
                </w14:checkbox>
              </w:sdtPr>
              <w:sdtEndPr/>
              <w:sdtContent>
                <w:r w:rsidR="0007700C" w:rsidRPr="00B31A9B">
                  <w:rPr>
                    <w:rFonts w:ascii="Segoe UI Symbol" w:hAnsi="Segoe UI Symbol"/>
                    <w:sz w:val="20"/>
                    <w:szCs w:val="20"/>
                  </w:rPr>
                  <w:t>☒</w:t>
                </w:r>
              </w:sdtContent>
            </w:sdt>
            <w:r w:rsidR="0007700C" w:rsidRPr="00B31A9B">
              <w:rPr>
                <w:sz w:val="20"/>
                <w:szCs w:val="20"/>
              </w:rPr>
              <w:t xml:space="preserve"> Economic Development</w:t>
            </w:r>
          </w:p>
          <w:p w14:paraId="2377F496" w14:textId="77777777" w:rsidR="0007700C" w:rsidRPr="00B31A9B" w:rsidRDefault="001A2AC6" w:rsidP="00684EA1">
            <w:pPr>
              <w:spacing w:line="480" w:lineRule="auto"/>
              <w:rPr>
                <w:sz w:val="20"/>
                <w:szCs w:val="20"/>
              </w:rPr>
            </w:pPr>
            <w:sdt>
              <w:sdtPr>
                <w:rPr>
                  <w:sz w:val="20"/>
                  <w:szCs w:val="20"/>
                </w:rPr>
                <w:id w:val="-875077565"/>
                <w14:checkbox>
                  <w14:checked w14:val="1"/>
                  <w14:checkedState w14:val="2612" w14:font="MS Gothic"/>
                  <w14:uncheckedState w14:val="2610" w14:font="MS Gothic"/>
                </w14:checkbox>
              </w:sdtPr>
              <w:sdtEndPr/>
              <w:sdtContent>
                <w:r w:rsidR="0007700C" w:rsidRPr="00B31A9B">
                  <w:rPr>
                    <w:rFonts w:ascii="Segoe UI Symbol" w:hAnsi="Segoe UI Symbol"/>
                    <w:sz w:val="20"/>
                    <w:szCs w:val="20"/>
                  </w:rPr>
                  <w:t>☒</w:t>
                </w:r>
              </w:sdtContent>
            </w:sdt>
            <w:r w:rsidR="0007700C" w:rsidRPr="00B31A9B">
              <w:rPr>
                <w:sz w:val="20"/>
                <w:szCs w:val="20"/>
              </w:rPr>
              <w:t xml:space="preserve"> Sector Strategy</w:t>
            </w:r>
          </w:p>
          <w:p w14:paraId="4BEEF350" w14:textId="77777777" w:rsidR="0007700C" w:rsidRPr="00B31A9B" w:rsidRDefault="001A2AC6" w:rsidP="00684EA1">
            <w:pPr>
              <w:spacing w:line="480" w:lineRule="auto"/>
              <w:rPr>
                <w:sz w:val="20"/>
                <w:szCs w:val="20"/>
              </w:rPr>
            </w:pPr>
            <w:sdt>
              <w:sdtPr>
                <w:rPr>
                  <w:sz w:val="20"/>
                  <w:szCs w:val="20"/>
                </w:rPr>
                <w:id w:val="869954938"/>
                <w14:checkbox>
                  <w14:checked w14:val="1"/>
                  <w14:checkedState w14:val="2612" w14:font="MS Gothic"/>
                  <w14:uncheckedState w14:val="2610" w14:font="MS Gothic"/>
                </w14:checkbox>
              </w:sdtPr>
              <w:sdtEndPr/>
              <w:sdtContent>
                <w:r w:rsidR="0007700C" w:rsidRPr="00B31A9B">
                  <w:rPr>
                    <w:rFonts w:ascii="Segoe UI Symbol" w:hAnsi="Segoe UI Symbol"/>
                    <w:sz w:val="20"/>
                    <w:szCs w:val="20"/>
                  </w:rPr>
                  <w:t>☒</w:t>
                </w:r>
              </w:sdtContent>
            </w:sdt>
            <w:r w:rsidR="0007700C" w:rsidRPr="00B31A9B">
              <w:rPr>
                <w:sz w:val="20"/>
                <w:szCs w:val="20"/>
              </w:rPr>
              <w:t xml:space="preserve"> Ed/Innovation/Efficiency</w:t>
            </w:r>
          </w:p>
          <w:p w14:paraId="28F90F38" w14:textId="77777777" w:rsidR="0007700C" w:rsidRPr="00B31A9B" w:rsidRDefault="001A2AC6" w:rsidP="00684EA1">
            <w:pPr>
              <w:spacing w:line="480" w:lineRule="auto"/>
              <w:rPr>
                <w:sz w:val="20"/>
                <w:szCs w:val="20"/>
              </w:rPr>
            </w:pPr>
            <w:sdt>
              <w:sdtPr>
                <w:rPr>
                  <w:sz w:val="20"/>
                  <w:szCs w:val="20"/>
                </w:rPr>
                <w:id w:val="738069065"/>
                <w14:checkbox>
                  <w14:checked w14:val="1"/>
                  <w14:checkedState w14:val="2612" w14:font="MS Gothic"/>
                  <w14:uncheckedState w14:val="2610" w14:font="MS Gothic"/>
                </w14:checkbox>
              </w:sdtPr>
              <w:sdtEndPr/>
              <w:sdtContent>
                <w:r w:rsidR="0007700C" w:rsidRPr="00B31A9B">
                  <w:rPr>
                    <w:rFonts w:ascii="Segoe UI Symbol" w:hAnsi="Segoe UI Symbol"/>
                    <w:sz w:val="20"/>
                    <w:szCs w:val="20"/>
                  </w:rPr>
                  <w:t>☒</w:t>
                </w:r>
              </w:sdtContent>
            </w:sdt>
            <w:r w:rsidR="0007700C" w:rsidRPr="00B31A9B">
              <w:rPr>
                <w:sz w:val="20"/>
                <w:szCs w:val="20"/>
              </w:rPr>
              <w:t xml:space="preserve"> Supply/Demand</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tcPr>
          <w:p w14:paraId="75C991EF" w14:textId="77777777" w:rsidR="0007700C" w:rsidRDefault="00254563" w:rsidP="00684EA1">
            <w:pPr>
              <w:rPr>
                <w:b/>
                <w:bCs/>
                <w:sz w:val="20"/>
                <w:szCs w:val="20"/>
                <w:lang w:val="en"/>
              </w:rPr>
            </w:pPr>
            <w:r>
              <w:rPr>
                <w:b/>
                <w:bCs/>
                <w:sz w:val="20"/>
                <w:szCs w:val="20"/>
                <w:lang w:val="en"/>
              </w:rPr>
              <w:t>Activity #4: Work Experience Marketplace – Mentorship, Coaching, and Job Shadowing Opportunities</w:t>
            </w:r>
          </w:p>
          <w:p w14:paraId="13FBA4D7" w14:textId="34096072" w:rsidR="00254563" w:rsidRPr="00F2662F" w:rsidRDefault="00254563" w:rsidP="00F2662F">
            <w:pPr>
              <w:rPr>
                <w:bCs/>
                <w:sz w:val="20"/>
                <w:szCs w:val="20"/>
                <w:lang w:val="en"/>
              </w:rPr>
            </w:pPr>
            <w:r w:rsidRPr="00254563">
              <w:rPr>
                <w:bCs/>
                <w:sz w:val="20"/>
                <w:szCs w:val="20"/>
                <w:lang w:val="en"/>
              </w:rPr>
              <w:t>Working with Sub-Committee, chai</w:t>
            </w:r>
            <w:r>
              <w:rPr>
                <w:bCs/>
                <w:sz w:val="20"/>
                <w:szCs w:val="20"/>
                <w:lang w:val="en"/>
              </w:rPr>
              <w:t xml:space="preserve">r William Westmorland, will </w:t>
            </w:r>
            <w:r w:rsidR="00490136">
              <w:rPr>
                <w:bCs/>
                <w:sz w:val="20"/>
                <w:szCs w:val="20"/>
                <w:lang w:val="en"/>
              </w:rPr>
              <w:t xml:space="preserve">connect partners </w:t>
            </w:r>
            <w:r>
              <w:rPr>
                <w:bCs/>
                <w:sz w:val="20"/>
                <w:szCs w:val="20"/>
                <w:lang w:val="en"/>
              </w:rPr>
              <w:t xml:space="preserve">experiential learning opportunities, </w:t>
            </w:r>
            <w:proofErr w:type="gramStart"/>
            <w:r>
              <w:rPr>
                <w:bCs/>
                <w:sz w:val="20"/>
                <w:szCs w:val="20"/>
                <w:lang w:val="en"/>
              </w:rPr>
              <w:t>e.g.</w:t>
            </w:r>
            <w:proofErr w:type="gramEnd"/>
            <w:r>
              <w:rPr>
                <w:bCs/>
                <w:sz w:val="20"/>
                <w:szCs w:val="20"/>
                <w:lang w:val="en"/>
              </w:rPr>
              <w:t xml:space="preserve"> internships and mentorships, for students in the safety, security, and preparedness SBCTC programs to connect employers/students directly reducing barriers to participation in the market place.  Continue to support several activities </w:t>
            </w:r>
            <w:r w:rsidR="00684EA1">
              <w:rPr>
                <w:bCs/>
                <w:sz w:val="20"/>
                <w:szCs w:val="20"/>
                <w:lang w:val="en"/>
              </w:rPr>
              <w:t>related to</w:t>
            </w:r>
            <w:r>
              <w:rPr>
                <w:bCs/>
                <w:sz w:val="20"/>
                <w:szCs w:val="20"/>
                <w:lang w:val="en"/>
              </w:rPr>
              <w:t xml:space="preserve"> Career Connect and help K-12 students, parents</w:t>
            </w:r>
            <w:r w:rsidR="00684EA1">
              <w:rPr>
                <w:bCs/>
                <w:sz w:val="20"/>
                <w:szCs w:val="20"/>
                <w:lang w:val="en"/>
              </w:rPr>
              <w:t>, and high school and college staff/faculty to navigate the dual credit, career and technical education (CTE) pathway.</w:t>
            </w:r>
          </w:p>
        </w:tc>
      </w:tr>
      <w:tr w:rsidR="0007700C" w:rsidRPr="00B31A9B" w14:paraId="457F2950"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D9D9D9"/>
            <w:tcMar>
              <w:top w:w="115" w:type="dxa"/>
              <w:left w:w="115" w:type="dxa"/>
              <w:bottom w:w="115" w:type="dxa"/>
              <w:right w:w="115" w:type="dxa"/>
            </w:tcMar>
            <w:hideMark/>
          </w:tcPr>
          <w:p w14:paraId="78DED5BB" w14:textId="77777777" w:rsidR="0007700C" w:rsidRPr="00B31A9B" w:rsidRDefault="0007700C" w:rsidP="00684EA1">
            <w:pPr>
              <w:spacing w:line="312" w:lineRule="auto"/>
              <w:jc w:val="center"/>
              <w:rPr>
                <w:b/>
                <w:bCs/>
                <w:sz w:val="20"/>
                <w:szCs w:val="20"/>
              </w:rPr>
            </w:pPr>
            <w:r w:rsidRPr="00B31A9B">
              <w:rPr>
                <w:b/>
                <w:bCs/>
                <w:color w:val="000000"/>
                <w:sz w:val="20"/>
                <w:szCs w:val="20"/>
              </w:rPr>
              <w:t>Funding Sources %</w:t>
            </w:r>
          </w:p>
        </w:tc>
        <w:tc>
          <w:tcPr>
            <w:tcW w:w="6245" w:type="dxa"/>
            <w:tcBorders>
              <w:top w:val="nil"/>
              <w:left w:val="nil"/>
              <w:bottom w:val="single" w:sz="8" w:space="0" w:color="auto"/>
              <w:right w:val="single" w:sz="8" w:space="0" w:color="auto"/>
            </w:tcBorders>
            <w:shd w:val="clear" w:color="auto" w:fill="D9D9D9"/>
            <w:tcMar>
              <w:top w:w="115" w:type="dxa"/>
              <w:left w:w="115" w:type="dxa"/>
              <w:bottom w:w="115" w:type="dxa"/>
              <w:right w:w="115" w:type="dxa"/>
            </w:tcMar>
            <w:hideMark/>
          </w:tcPr>
          <w:p w14:paraId="17BA5CCC" w14:textId="77777777" w:rsidR="0007700C" w:rsidRPr="00B31A9B" w:rsidRDefault="0007700C" w:rsidP="00684EA1">
            <w:pPr>
              <w:spacing w:line="312" w:lineRule="auto"/>
              <w:jc w:val="center"/>
              <w:rPr>
                <w:b/>
                <w:bCs/>
                <w:sz w:val="20"/>
                <w:szCs w:val="20"/>
              </w:rPr>
            </w:pPr>
            <w:r w:rsidRPr="00B31A9B">
              <w:rPr>
                <w:b/>
                <w:bCs/>
                <w:color w:val="000000"/>
                <w:sz w:val="20"/>
                <w:szCs w:val="20"/>
              </w:rPr>
              <w:t>Purpose</w:t>
            </w:r>
          </w:p>
        </w:tc>
        <w:tc>
          <w:tcPr>
            <w:tcW w:w="5977" w:type="dxa"/>
            <w:tcBorders>
              <w:top w:val="nil"/>
              <w:left w:val="nil"/>
              <w:bottom w:val="single" w:sz="8" w:space="0" w:color="auto"/>
              <w:right w:val="single" w:sz="18" w:space="0" w:color="auto"/>
            </w:tcBorders>
            <w:shd w:val="clear" w:color="auto" w:fill="D9D9D9"/>
            <w:tcMar>
              <w:top w:w="115" w:type="dxa"/>
              <w:left w:w="115" w:type="dxa"/>
              <w:bottom w:w="115" w:type="dxa"/>
              <w:right w:w="115" w:type="dxa"/>
            </w:tcMar>
            <w:hideMark/>
          </w:tcPr>
          <w:p w14:paraId="6386CD4F" w14:textId="77777777" w:rsidR="0007700C" w:rsidRPr="00B31A9B" w:rsidRDefault="0007700C" w:rsidP="00684EA1">
            <w:pPr>
              <w:spacing w:line="312" w:lineRule="auto"/>
              <w:jc w:val="center"/>
              <w:rPr>
                <w:b/>
                <w:bCs/>
                <w:sz w:val="20"/>
                <w:szCs w:val="20"/>
              </w:rPr>
            </w:pPr>
            <w:r>
              <w:rPr>
                <w:b/>
                <w:bCs/>
                <w:color w:val="000000"/>
                <w:sz w:val="20"/>
                <w:szCs w:val="20"/>
              </w:rPr>
              <w:t xml:space="preserve">Projected Outcomes, Work Products, Completion Date </w:t>
            </w:r>
          </w:p>
        </w:tc>
      </w:tr>
      <w:tr w:rsidR="0007700C" w:rsidRPr="00B31A9B" w14:paraId="620F07A9" w14:textId="77777777" w:rsidTr="00684EA1">
        <w:trPr>
          <w:trHeight w:val="351"/>
        </w:trPr>
        <w:tc>
          <w:tcPr>
            <w:tcW w:w="2448" w:type="dxa"/>
            <w:tcBorders>
              <w:top w:val="nil"/>
              <w:left w:val="single" w:sz="18" w:space="0" w:color="auto"/>
              <w:bottom w:val="single" w:sz="18" w:space="0" w:color="auto"/>
              <w:right w:val="single" w:sz="8" w:space="0" w:color="auto"/>
            </w:tcBorders>
            <w:tcMar>
              <w:top w:w="115" w:type="dxa"/>
              <w:left w:w="115" w:type="dxa"/>
              <w:bottom w:w="115" w:type="dxa"/>
              <w:right w:w="115" w:type="dxa"/>
            </w:tcMar>
            <w:hideMark/>
          </w:tcPr>
          <w:p w14:paraId="3A60C531" w14:textId="77777777" w:rsidR="0007700C" w:rsidRPr="00B31A9B" w:rsidRDefault="00003DC4" w:rsidP="00003DC4">
            <w:pPr>
              <w:spacing w:line="312" w:lineRule="auto"/>
              <w:rPr>
                <w:sz w:val="20"/>
                <w:szCs w:val="20"/>
              </w:rPr>
            </w:pPr>
            <w:r>
              <w:rPr>
                <w:sz w:val="20"/>
                <w:szCs w:val="20"/>
              </w:rPr>
              <w:t>CO</w:t>
            </w:r>
            <w:r w:rsidR="0007700C" w:rsidRPr="00B31A9B">
              <w:rPr>
                <w:sz w:val="20"/>
                <w:szCs w:val="20"/>
              </w:rPr>
              <w:t>E-</w:t>
            </w:r>
            <w:r>
              <w:rPr>
                <w:sz w:val="20"/>
                <w:szCs w:val="20"/>
              </w:rPr>
              <w:t>Resilience</w:t>
            </w:r>
            <w:r w:rsidR="0007700C" w:rsidRPr="00B31A9B">
              <w:rPr>
                <w:sz w:val="20"/>
                <w:szCs w:val="20"/>
              </w:rPr>
              <w:t xml:space="preserve"> – 100%</w:t>
            </w:r>
          </w:p>
        </w:tc>
        <w:tc>
          <w:tcPr>
            <w:tcW w:w="6245" w:type="dxa"/>
            <w:tcBorders>
              <w:top w:val="nil"/>
              <w:left w:val="nil"/>
              <w:bottom w:val="single" w:sz="18" w:space="0" w:color="auto"/>
              <w:right w:val="single" w:sz="8" w:space="0" w:color="auto"/>
            </w:tcBorders>
            <w:tcMar>
              <w:top w:w="115" w:type="dxa"/>
              <w:left w:w="115" w:type="dxa"/>
              <w:bottom w:w="115" w:type="dxa"/>
              <w:right w:w="115" w:type="dxa"/>
            </w:tcMar>
            <w:hideMark/>
          </w:tcPr>
          <w:p w14:paraId="2D79CE8E" w14:textId="77777777" w:rsidR="00910679" w:rsidRDefault="00A40E94" w:rsidP="00A40E94">
            <w:pPr>
              <w:rPr>
                <w:sz w:val="20"/>
                <w:szCs w:val="20"/>
              </w:rPr>
            </w:pPr>
            <w:r w:rsidRPr="00B31A9B">
              <w:rPr>
                <w:sz w:val="20"/>
                <w:szCs w:val="20"/>
              </w:rPr>
              <w:t>Career Pathways are expanding, and the needs of employers</w:t>
            </w:r>
            <w:r w:rsidR="00910679">
              <w:rPr>
                <w:sz w:val="20"/>
                <w:szCs w:val="20"/>
              </w:rPr>
              <w:t>, students and educators</w:t>
            </w:r>
            <w:r w:rsidRPr="00B31A9B">
              <w:rPr>
                <w:sz w:val="20"/>
                <w:szCs w:val="20"/>
              </w:rPr>
              <w:t xml:space="preserve"> are changing</w:t>
            </w:r>
            <w:r w:rsidR="00910679">
              <w:rPr>
                <w:sz w:val="20"/>
                <w:szCs w:val="20"/>
              </w:rPr>
              <w:t>.  COE will help</w:t>
            </w:r>
            <w:r w:rsidRPr="00B31A9B">
              <w:rPr>
                <w:sz w:val="20"/>
                <w:szCs w:val="20"/>
              </w:rPr>
              <w:t xml:space="preserve"> identify and develop enhanced/expanded opportunities to provide students, faculty, and staff with </w:t>
            </w:r>
            <w:r w:rsidR="00910679">
              <w:rPr>
                <w:sz w:val="20"/>
                <w:szCs w:val="20"/>
              </w:rPr>
              <w:t xml:space="preserve">training and </w:t>
            </w:r>
            <w:r w:rsidRPr="00B31A9B">
              <w:rPr>
                <w:sz w:val="20"/>
                <w:szCs w:val="20"/>
              </w:rPr>
              <w:t>experiential learning opportunities, internships, apprenticeships, volunt</w:t>
            </w:r>
            <w:r w:rsidR="00910679">
              <w:rPr>
                <w:sz w:val="20"/>
                <w:szCs w:val="20"/>
              </w:rPr>
              <w:t>eering, coaching, and mentoring.</w:t>
            </w:r>
          </w:p>
          <w:p w14:paraId="34F5EAB0" w14:textId="77777777" w:rsidR="00A40E94" w:rsidRDefault="00910679" w:rsidP="00A40E94">
            <w:pPr>
              <w:rPr>
                <w:sz w:val="20"/>
                <w:szCs w:val="20"/>
              </w:rPr>
            </w:pPr>
            <w:r>
              <w:rPr>
                <w:sz w:val="20"/>
                <w:szCs w:val="20"/>
              </w:rPr>
              <w:t xml:space="preserve"> </w:t>
            </w:r>
          </w:p>
          <w:p w14:paraId="59393841" w14:textId="77777777" w:rsidR="004B42CA" w:rsidRDefault="00910679" w:rsidP="00A40E94">
            <w:pPr>
              <w:rPr>
                <w:sz w:val="20"/>
                <w:szCs w:val="20"/>
              </w:rPr>
            </w:pPr>
            <w:r>
              <w:rPr>
                <w:sz w:val="20"/>
                <w:szCs w:val="20"/>
              </w:rPr>
              <w:t>COE must</w:t>
            </w:r>
            <w:r w:rsidR="00A40E94" w:rsidRPr="00B31A9B">
              <w:rPr>
                <w:sz w:val="20"/>
                <w:szCs w:val="20"/>
              </w:rPr>
              <w:t xml:space="preserve"> collaborate and coordinate with the marketplace (public/private) and </w:t>
            </w:r>
            <w:r>
              <w:rPr>
                <w:sz w:val="20"/>
                <w:szCs w:val="20"/>
              </w:rPr>
              <w:t>directly involve them</w:t>
            </w:r>
            <w:r w:rsidR="00A40E94" w:rsidRPr="00B31A9B">
              <w:rPr>
                <w:sz w:val="20"/>
                <w:szCs w:val="20"/>
              </w:rPr>
              <w:t xml:space="preserve"> in offering stable and ongoing work experience opportunities paid and unpaid.  Employers have an increased demand for </w:t>
            </w:r>
            <w:r w:rsidR="00A40E94">
              <w:rPr>
                <w:sz w:val="20"/>
                <w:szCs w:val="20"/>
              </w:rPr>
              <w:t>Risk/Resilient</w:t>
            </w:r>
            <w:r w:rsidR="00A40E94" w:rsidRPr="00B31A9B">
              <w:rPr>
                <w:sz w:val="20"/>
                <w:szCs w:val="20"/>
              </w:rPr>
              <w:t xml:space="preserve"> professionals (6-8% growth predicted).  </w:t>
            </w:r>
          </w:p>
          <w:p w14:paraId="032FF90C" w14:textId="77777777" w:rsidR="004B42CA" w:rsidRDefault="004B42CA" w:rsidP="00A40E94">
            <w:pPr>
              <w:rPr>
                <w:sz w:val="20"/>
                <w:szCs w:val="20"/>
              </w:rPr>
            </w:pPr>
          </w:p>
          <w:p w14:paraId="6271F642" w14:textId="77777777" w:rsidR="00A40E94" w:rsidRDefault="00910679" w:rsidP="00A40E94">
            <w:pPr>
              <w:rPr>
                <w:sz w:val="20"/>
                <w:szCs w:val="20"/>
              </w:rPr>
            </w:pPr>
            <w:r>
              <w:rPr>
                <w:sz w:val="20"/>
                <w:szCs w:val="20"/>
              </w:rPr>
              <w:t>C</w:t>
            </w:r>
            <w:r w:rsidR="00A40E94" w:rsidRPr="00B31A9B">
              <w:rPr>
                <w:sz w:val="20"/>
                <w:szCs w:val="20"/>
              </w:rPr>
              <w:t xml:space="preserve">urrent experiential learning programs are underdeveloped and </w:t>
            </w:r>
            <w:r>
              <w:rPr>
                <w:sz w:val="20"/>
                <w:szCs w:val="20"/>
              </w:rPr>
              <w:t>unable</w:t>
            </w:r>
            <w:r w:rsidR="00A40E94" w:rsidRPr="00B31A9B">
              <w:rPr>
                <w:sz w:val="20"/>
                <w:szCs w:val="20"/>
              </w:rPr>
              <w:t xml:space="preserve"> to p</w:t>
            </w:r>
            <w:r>
              <w:rPr>
                <w:sz w:val="20"/>
                <w:szCs w:val="20"/>
              </w:rPr>
              <w:t xml:space="preserve">rovide all </w:t>
            </w:r>
            <w:proofErr w:type="gramStart"/>
            <w:r>
              <w:rPr>
                <w:sz w:val="20"/>
                <w:szCs w:val="20"/>
              </w:rPr>
              <w:t>that students</w:t>
            </w:r>
            <w:proofErr w:type="gramEnd"/>
            <w:r>
              <w:rPr>
                <w:sz w:val="20"/>
                <w:szCs w:val="20"/>
              </w:rPr>
              <w:t xml:space="preserve"> need.  Need to </w:t>
            </w:r>
            <w:r w:rsidR="00A40E94" w:rsidRPr="00B31A9B">
              <w:rPr>
                <w:sz w:val="20"/>
                <w:szCs w:val="20"/>
              </w:rPr>
              <w:t xml:space="preserve">relaunch the internship and experiential learning program through a collaboration with “the </w:t>
            </w:r>
            <w:r w:rsidR="00A40E94" w:rsidRPr="00B31A9B">
              <w:rPr>
                <w:sz w:val="20"/>
                <w:szCs w:val="20"/>
              </w:rPr>
              <w:lastRenderedPageBreak/>
              <w:t>marketplace” (both public and private) by developing a stable registry of experiential learning opportunities.</w:t>
            </w:r>
          </w:p>
          <w:p w14:paraId="490124F5" w14:textId="77777777" w:rsidR="00A40E94" w:rsidRDefault="00A40E94" w:rsidP="00A40E94">
            <w:pPr>
              <w:rPr>
                <w:sz w:val="20"/>
                <w:szCs w:val="20"/>
              </w:rPr>
            </w:pPr>
          </w:p>
          <w:p w14:paraId="4BF3B9D3" w14:textId="77777777" w:rsidR="00A40E94" w:rsidRPr="00B31A9B" w:rsidRDefault="00A40E94" w:rsidP="00A40E94">
            <w:pPr>
              <w:rPr>
                <w:sz w:val="20"/>
                <w:szCs w:val="20"/>
              </w:rPr>
            </w:pPr>
            <w:r w:rsidRPr="00B31A9B">
              <w:rPr>
                <w:sz w:val="20"/>
                <w:szCs w:val="20"/>
              </w:rPr>
              <w:t xml:space="preserve"> We will identify different types of experiential learning, student and employer benefits, address access and equity, how we define the Center’s value proposition and how to engage employers.  We will develop a process model that the Centers career pathway programs will utilize for their experiential learning courses and develop a guide for employer engagement.  </w:t>
            </w:r>
          </w:p>
          <w:p w14:paraId="602C9FED" w14:textId="77777777" w:rsidR="00A40E94" w:rsidRPr="00B31A9B" w:rsidRDefault="00A40E94" w:rsidP="00A40E94">
            <w:pPr>
              <w:rPr>
                <w:sz w:val="20"/>
                <w:szCs w:val="20"/>
              </w:rPr>
            </w:pPr>
          </w:p>
          <w:p w14:paraId="2B0043DB" w14:textId="77777777" w:rsidR="0007700C" w:rsidRPr="00B31A9B" w:rsidRDefault="0007700C" w:rsidP="00684EA1">
            <w:pPr>
              <w:rPr>
                <w:rFonts w:eastAsia="Times New Roman"/>
                <w:sz w:val="20"/>
                <w:szCs w:val="20"/>
              </w:rPr>
            </w:pPr>
          </w:p>
        </w:tc>
        <w:tc>
          <w:tcPr>
            <w:tcW w:w="5977" w:type="dxa"/>
            <w:tcBorders>
              <w:top w:val="nil"/>
              <w:left w:val="nil"/>
              <w:bottom w:val="single" w:sz="18" w:space="0" w:color="auto"/>
              <w:right w:val="single" w:sz="18" w:space="0" w:color="auto"/>
            </w:tcBorders>
            <w:tcMar>
              <w:top w:w="115" w:type="dxa"/>
              <w:left w:w="115" w:type="dxa"/>
              <w:bottom w:w="115" w:type="dxa"/>
              <w:right w:w="115" w:type="dxa"/>
            </w:tcMar>
            <w:hideMark/>
          </w:tcPr>
          <w:p w14:paraId="4437EC98" w14:textId="77777777" w:rsidR="0007700C" w:rsidRDefault="00684EA1" w:rsidP="00684EA1">
            <w:pPr>
              <w:pStyle w:val="ListParagraph"/>
              <w:numPr>
                <w:ilvl w:val="0"/>
                <w:numId w:val="32"/>
              </w:numPr>
              <w:rPr>
                <w:rFonts w:eastAsia="Times New Roman"/>
                <w:sz w:val="20"/>
                <w:szCs w:val="20"/>
              </w:rPr>
            </w:pPr>
            <w:r>
              <w:rPr>
                <w:rFonts w:eastAsia="Times New Roman"/>
                <w:sz w:val="20"/>
                <w:szCs w:val="20"/>
              </w:rPr>
              <w:lastRenderedPageBreak/>
              <w:t>COE/Pierce College partners will continue working on the Pierce County Careers Connections (PC3) project and offer other SBCTC system colleges the template and support to replicate similar website capabilities.  Identify funding resources to add 2 additional districts that indicate interest.</w:t>
            </w:r>
          </w:p>
          <w:p w14:paraId="307C5A5D" w14:textId="77777777" w:rsidR="00684EA1" w:rsidRDefault="00684EA1" w:rsidP="00684EA1">
            <w:pPr>
              <w:pStyle w:val="ListParagraph"/>
              <w:numPr>
                <w:ilvl w:val="0"/>
                <w:numId w:val="32"/>
              </w:numPr>
              <w:rPr>
                <w:rFonts w:eastAsia="Times New Roman"/>
                <w:sz w:val="20"/>
                <w:szCs w:val="20"/>
              </w:rPr>
            </w:pPr>
            <w:r>
              <w:rPr>
                <w:rFonts w:eastAsia="Times New Roman"/>
                <w:sz w:val="20"/>
                <w:szCs w:val="20"/>
              </w:rPr>
              <w:t xml:space="preserve">Continue to engage employers/colleges to provide career/skills advancement for employees.  Quarterly.  </w:t>
            </w:r>
          </w:p>
          <w:p w14:paraId="2DA35EC7" w14:textId="77777777" w:rsidR="00684EA1" w:rsidRDefault="00684EA1" w:rsidP="00684EA1">
            <w:pPr>
              <w:pStyle w:val="ListParagraph"/>
              <w:numPr>
                <w:ilvl w:val="0"/>
                <w:numId w:val="32"/>
              </w:numPr>
              <w:rPr>
                <w:rFonts w:eastAsia="Times New Roman"/>
                <w:sz w:val="20"/>
                <w:szCs w:val="20"/>
              </w:rPr>
            </w:pPr>
            <w:r>
              <w:rPr>
                <w:rFonts w:eastAsia="Times New Roman"/>
                <w:sz w:val="20"/>
                <w:szCs w:val="20"/>
              </w:rPr>
              <w:t>Provide opportunities/incentives to employers to provide career/skills advancement for employees. Quarterly</w:t>
            </w:r>
          </w:p>
          <w:p w14:paraId="6F77CC96" w14:textId="5630B02F" w:rsidR="00CF6BF2" w:rsidRDefault="00CF6BF2" w:rsidP="00684EA1">
            <w:pPr>
              <w:pStyle w:val="ListParagraph"/>
              <w:numPr>
                <w:ilvl w:val="0"/>
                <w:numId w:val="32"/>
              </w:numPr>
              <w:rPr>
                <w:rFonts w:eastAsia="Times New Roman"/>
                <w:sz w:val="20"/>
                <w:szCs w:val="20"/>
              </w:rPr>
            </w:pPr>
            <w:r>
              <w:rPr>
                <w:rFonts w:eastAsia="Times New Roman"/>
                <w:sz w:val="20"/>
                <w:szCs w:val="20"/>
              </w:rPr>
              <w:t>Education/training workshops and seminars will provide skills development learning opportunities for participants to mentor and coach students.  Job shadowing opportunities will be included in outcome. 1 per quarter.</w:t>
            </w:r>
          </w:p>
          <w:p w14:paraId="61F07D97" w14:textId="77777777" w:rsidR="00CF6BF2" w:rsidRPr="00684EA1" w:rsidRDefault="00CF6BF2" w:rsidP="00684EA1">
            <w:pPr>
              <w:pStyle w:val="ListParagraph"/>
              <w:numPr>
                <w:ilvl w:val="0"/>
                <w:numId w:val="32"/>
              </w:numPr>
              <w:rPr>
                <w:rFonts w:eastAsia="Times New Roman"/>
                <w:sz w:val="20"/>
                <w:szCs w:val="20"/>
              </w:rPr>
            </w:pPr>
            <w:r>
              <w:rPr>
                <w:rFonts w:eastAsia="Times New Roman"/>
                <w:sz w:val="20"/>
                <w:szCs w:val="20"/>
              </w:rPr>
              <w:lastRenderedPageBreak/>
              <w:t>Identify apprenticeship/inter-inter</w:t>
            </w:r>
            <w:r w:rsidR="00910679">
              <w:rPr>
                <w:rFonts w:eastAsia="Times New Roman"/>
                <w:sz w:val="20"/>
                <w:szCs w:val="20"/>
              </w:rPr>
              <w:t>nships that support disciplines and develop a registry.</w:t>
            </w:r>
            <w:r>
              <w:rPr>
                <w:rFonts w:eastAsia="Times New Roman"/>
                <w:sz w:val="20"/>
                <w:szCs w:val="20"/>
              </w:rPr>
              <w:t xml:space="preserve">  Will be reported quarterly with a goal of 10 work experience opportuniti</w:t>
            </w:r>
            <w:r w:rsidR="00910679">
              <w:rPr>
                <w:rFonts w:eastAsia="Times New Roman"/>
                <w:sz w:val="20"/>
                <w:szCs w:val="20"/>
              </w:rPr>
              <w:t xml:space="preserve">es quarterly and establish registry. </w:t>
            </w:r>
            <w:r>
              <w:rPr>
                <w:rFonts w:eastAsia="Times New Roman"/>
                <w:sz w:val="20"/>
                <w:szCs w:val="20"/>
              </w:rPr>
              <w:t xml:space="preserve">  </w:t>
            </w:r>
          </w:p>
        </w:tc>
      </w:tr>
      <w:tr w:rsidR="0007700C" w:rsidRPr="00B31A9B" w14:paraId="71744926" w14:textId="77777777" w:rsidTr="00684EA1">
        <w:trPr>
          <w:trHeight w:val="351"/>
        </w:trPr>
        <w:tc>
          <w:tcPr>
            <w:tcW w:w="14670" w:type="dxa"/>
            <w:gridSpan w:val="3"/>
            <w:tcBorders>
              <w:top w:val="nil"/>
              <w:left w:val="single" w:sz="18" w:space="0" w:color="auto"/>
              <w:bottom w:val="single" w:sz="8" w:space="0" w:color="auto"/>
              <w:right w:val="single" w:sz="18" w:space="0" w:color="auto"/>
            </w:tcBorders>
            <w:shd w:val="clear" w:color="auto" w:fill="D9D9D9"/>
            <w:tcMar>
              <w:top w:w="115" w:type="dxa"/>
              <w:left w:w="115" w:type="dxa"/>
              <w:bottom w:w="115" w:type="dxa"/>
              <w:right w:w="115" w:type="dxa"/>
            </w:tcMar>
            <w:vAlign w:val="center"/>
            <w:hideMark/>
          </w:tcPr>
          <w:p w14:paraId="75A5B742" w14:textId="77777777" w:rsidR="0007700C" w:rsidRPr="00B31A9B" w:rsidRDefault="0007700C" w:rsidP="00684EA1">
            <w:pPr>
              <w:spacing w:line="312" w:lineRule="auto"/>
              <w:jc w:val="center"/>
              <w:rPr>
                <w:b/>
                <w:bCs/>
                <w:sz w:val="20"/>
                <w:szCs w:val="20"/>
              </w:rPr>
            </w:pPr>
            <w:r w:rsidRPr="00B31A9B">
              <w:rPr>
                <w:b/>
                <w:bCs/>
                <w:color w:val="000000"/>
                <w:sz w:val="20"/>
                <w:szCs w:val="20"/>
              </w:rPr>
              <w:t>Report and Analysis on Actual Outcomes and Products</w:t>
            </w:r>
          </w:p>
        </w:tc>
      </w:tr>
      <w:tr w:rsidR="0007700C" w:rsidRPr="00B31A9B" w14:paraId="375E35A6"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15271F7C" w14:textId="77777777" w:rsidR="0007700C" w:rsidRPr="008A3350" w:rsidRDefault="0007700C" w:rsidP="00684EA1">
            <w:pPr>
              <w:rPr>
                <w:b/>
                <w:bCs/>
                <w:sz w:val="20"/>
                <w:szCs w:val="20"/>
              </w:rPr>
            </w:pPr>
            <w:r w:rsidRPr="008A3350">
              <w:rPr>
                <w:b/>
                <w:bCs/>
                <w:sz w:val="20"/>
                <w:szCs w:val="20"/>
              </w:rPr>
              <w:t>Quarter 1</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hideMark/>
          </w:tcPr>
          <w:p w14:paraId="7936AAF6" w14:textId="77777777" w:rsidR="00207592" w:rsidRPr="00207592" w:rsidRDefault="00207592" w:rsidP="00207592">
            <w:pPr>
              <w:pStyle w:val="ListParagraph"/>
              <w:numPr>
                <w:ilvl w:val="1"/>
                <w:numId w:val="45"/>
              </w:numPr>
              <w:spacing w:line="312" w:lineRule="auto"/>
              <w:rPr>
                <w:sz w:val="20"/>
                <w:szCs w:val="20"/>
              </w:rPr>
            </w:pPr>
            <w:r w:rsidRPr="00207592">
              <w:rPr>
                <w:sz w:val="20"/>
                <w:szCs w:val="20"/>
              </w:rPr>
              <w:t>COE has still been partnering with Pierce College to provide updates and design adjustments to the Pierce County Career Connections (PC3) website. Will have to still identify funding resources to add 2 additional districts to indicate interest.</w:t>
            </w:r>
          </w:p>
          <w:p w14:paraId="4149A4F7" w14:textId="1761055D" w:rsidR="00207592" w:rsidRDefault="00207592" w:rsidP="00207592">
            <w:pPr>
              <w:pStyle w:val="ListParagraph"/>
              <w:numPr>
                <w:ilvl w:val="1"/>
                <w:numId w:val="45"/>
              </w:numPr>
              <w:spacing w:line="312" w:lineRule="auto"/>
              <w:rPr>
                <w:sz w:val="20"/>
                <w:szCs w:val="20"/>
              </w:rPr>
            </w:pPr>
            <w:r>
              <w:rPr>
                <w:sz w:val="20"/>
                <w:szCs w:val="20"/>
              </w:rPr>
              <w:t>Discussions with employers/colleges to provide employees with career/skills advancements are still ongoing</w:t>
            </w:r>
            <w:r>
              <w:rPr>
                <w:sz w:val="20"/>
                <w:szCs w:val="20"/>
              </w:rPr>
              <w:t xml:space="preserve"> through check ins and Advisory Board Meetings</w:t>
            </w:r>
            <w:r>
              <w:rPr>
                <w:sz w:val="20"/>
                <w:szCs w:val="20"/>
              </w:rPr>
              <w:t>.</w:t>
            </w:r>
          </w:p>
          <w:p w14:paraId="414A6C7A" w14:textId="77777777" w:rsidR="00207592" w:rsidRDefault="00207592" w:rsidP="00207592">
            <w:pPr>
              <w:pStyle w:val="ListParagraph"/>
              <w:numPr>
                <w:ilvl w:val="1"/>
                <w:numId w:val="45"/>
              </w:numPr>
              <w:spacing w:line="312" w:lineRule="auto"/>
              <w:rPr>
                <w:sz w:val="20"/>
                <w:szCs w:val="20"/>
              </w:rPr>
            </w:pPr>
            <w:r>
              <w:rPr>
                <w:sz w:val="20"/>
                <w:szCs w:val="20"/>
              </w:rPr>
              <w:t>COE is still continuing to provide opportunities/incentives to employers to provide career/skills advancements. Summits/events are in the process of being planned to help provide opportunities.</w:t>
            </w:r>
          </w:p>
          <w:p w14:paraId="5F304881" w14:textId="77777777" w:rsidR="00207592" w:rsidRDefault="00207592" w:rsidP="00207592">
            <w:pPr>
              <w:pStyle w:val="ListParagraph"/>
              <w:numPr>
                <w:ilvl w:val="1"/>
                <w:numId w:val="45"/>
              </w:numPr>
              <w:spacing w:line="312" w:lineRule="auto"/>
              <w:rPr>
                <w:sz w:val="20"/>
                <w:szCs w:val="20"/>
              </w:rPr>
            </w:pPr>
            <w:r>
              <w:rPr>
                <w:sz w:val="20"/>
                <w:szCs w:val="20"/>
              </w:rPr>
              <w:t xml:space="preserve">As previously stated, summits/events are currently planned and being put on throughout the year as ways to provide learning opportunities/training/education to help network participants in workforce with students for mentoring. </w:t>
            </w:r>
          </w:p>
          <w:p w14:paraId="18EF8216" w14:textId="29A3E529" w:rsidR="00F93401" w:rsidRPr="00207592" w:rsidRDefault="00207592" w:rsidP="00207592">
            <w:pPr>
              <w:pStyle w:val="ListParagraph"/>
              <w:numPr>
                <w:ilvl w:val="1"/>
                <w:numId w:val="45"/>
              </w:numPr>
              <w:spacing w:line="312" w:lineRule="auto"/>
              <w:rPr>
                <w:sz w:val="20"/>
                <w:szCs w:val="20"/>
              </w:rPr>
            </w:pPr>
            <w:r w:rsidRPr="00184C57">
              <w:rPr>
                <w:sz w:val="20"/>
                <w:szCs w:val="20"/>
              </w:rPr>
              <w:t xml:space="preserve">Apprenticeship/internships that support disciplines are being slowly identified, but a registry still needs work on being fully developed. COE is currently able to identify 2-3 work experience opportunities quarterly to publish to </w:t>
            </w:r>
            <w:proofErr w:type="spellStart"/>
            <w:r w:rsidRPr="00184C57">
              <w:rPr>
                <w:sz w:val="20"/>
                <w:szCs w:val="20"/>
              </w:rPr>
              <w:t>coehsem</w:t>
            </w:r>
            <w:proofErr w:type="spellEnd"/>
            <w:r w:rsidRPr="00184C57">
              <w:rPr>
                <w:sz w:val="20"/>
                <w:szCs w:val="20"/>
              </w:rPr>
              <w:t xml:space="preserve"> website.</w:t>
            </w:r>
          </w:p>
        </w:tc>
      </w:tr>
      <w:tr w:rsidR="0007700C" w:rsidRPr="00B31A9B" w14:paraId="5D9E209A"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343CE8DD" w14:textId="77777777" w:rsidR="0007700C" w:rsidRPr="00B31A9B" w:rsidRDefault="0007700C" w:rsidP="00684EA1">
            <w:pPr>
              <w:rPr>
                <w:b/>
                <w:bCs/>
                <w:sz w:val="20"/>
                <w:szCs w:val="20"/>
              </w:rPr>
            </w:pPr>
            <w:r w:rsidRPr="00B31A9B">
              <w:rPr>
                <w:b/>
                <w:bCs/>
                <w:color w:val="000000"/>
                <w:sz w:val="20"/>
                <w:szCs w:val="20"/>
              </w:rPr>
              <w:t>Quarter 2</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1FBE2BAC" w14:textId="77777777" w:rsidR="0007700C" w:rsidRPr="00B31A9B" w:rsidRDefault="0007700C" w:rsidP="00684EA1">
            <w:pPr>
              <w:spacing w:line="312" w:lineRule="auto"/>
              <w:rPr>
                <w:sz w:val="20"/>
                <w:szCs w:val="20"/>
              </w:rPr>
            </w:pPr>
          </w:p>
        </w:tc>
      </w:tr>
      <w:tr w:rsidR="0007700C" w:rsidRPr="00B31A9B" w14:paraId="18EDDD17"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165599DA" w14:textId="77777777" w:rsidR="0007700C" w:rsidRPr="00B31A9B" w:rsidRDefault="0007700C" w:rsidP="00684EA1">
            <w:pPr>
              <w:rPr>
                <w:b/>
                <w:bCs/>
                <w:sz w:val="20"/>
                <w:szCs w:val="20"/>
              </w:rPr>
            </w:pPr>
            <w:r w:rsidRPr="00B31A9B">
              <w:rPr>
                <w:b/>
                <w:bCs/>
                <w:color w:val="000000"/>
                <w:sz w:val="20"/>
                <w:szCs w:val="20"/>
              </w:rPr>
              <w:t>Quarter 3</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6CFBF4DE" w14:textId="77777777" w:rsidR="0007700C" w:rsidRPr="00B31A9B" w:rsidRDefault="0007700C" w:rsidP="00684EA1">
            <w:pPr>
              <w:spacing w:before="240" w:line="312" w:lineRule="auto"/>
              <w:rPr>
                <w:sz w:val="20"/>
                <w:szCs w:val="20"/>
              </w:rPr>
            </w:pPr>
            <w:r>
              <w:rPr>
                <w:sz w:val="20"/>
                <w:szCs w:val="20"/>
              </w:rPr>
              <w:t xml:space="preserve"> </w:t>
            </w:r>
          </w:p>
        </w:tc>
      </w:tr>
      <w:tr w:rsidR="0007700C" w:rsidRPr="00B31A9B" w14:paraId="2B2ABBF5"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78477951" w14:textId="77777777" w:rsidR="0007700C" w:rsidRPr="00B31A9B" w:rsidRDefault="0007700C" w:rsidP="00684EA1">
            <w:pPr>
              <w:rPr>
                <w:b/>
                <w:bCs/>
                <w:sz w:val="20"/>
                <w:szCs w:val="20"/>
              </w:rPr>
            </w:pPr>
            <w:r w:rsidRPr="00B31A9B">
              <w:rPr>
                <w:b/>
                <w:bCs/>
                <w:color w:val="000000"/>
                <w:sz w:val="20"/>
                <w:szCs w:val="20"/>
              </w:rPr>
              <w:t>Quarter 4</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690620F1" w14:textId="77777777" w:rsidR="0007700C" w:rsidRPr="00B31A9B" w:rsidRDefault="0007700C" w:rsidP="00684EA1">
            <w:pPr>
              <w:spacing w:line="312" w:lineRule="auto"/>
              <w:rPr>
                <w:sz w:val="20"/>
                <w:szCs w:val="20"/>
              </w:rPr>
            </w:pPr>
          </w:p>
        </w:tc>
      </w:tr>
      <w:tr w:rsidR="00B54DE7" w:rsidRPr="00B31A9B" w14:paraId="352D3381"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217969E4" w14:textId="77777777" w:rsidR="00B54DE7" w:rsidRPr="00B31A9B" w:rsidRDefault="00B54DE7" w:rsidP="00684EA1">
            <w:pPr>
              <w:rPr>
                <w:b/>
                <w:bCs/>
                <w:color w:val="000000"/>
                <w:sz w:val="20"/>
                <w:szCs w:val="20"/>
              </w:rPr>
            </w:pPr>
            <w:r w:rsidRPr="00B31A9B">
              <w:rPr>
                <w:b/>
                <w:bCs/>
                <w:color w:val="000000"/>
                <w:sz w:val="20"/>
                <w:szCs w:val="20"/>
              </w:rPr>
              <w:t>Analysis Quarter #1</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49E01908" w14:textId="02C0699D" w:rsidR="00B54DE7" w:rsidRPr="00B31A9B" w:rsidRDefault="009B76CA" w:rsidP="00684EA1">
            <w:pPr>
              <w:spacing w:line="312" w:lineRule="auto"/>
              <w:rPr>
                <w:sz w:val="20"/>
                <w:szCs w:val="20"/>
              </w:rPr>
            </w:pPr>
            <w:r>
              <w:rPr>
                <w:sz w:val="20"/>
                <w:szCs w:val="20"/>
              </w:rPr>
              <w:t>As stated again, d</w:t>
            </w:r>
            <w:r>
              <w:rPr>
                <w:sz w:val="20"/>
                <w:szCs w:val="20"/>
              </w:rPr>
              <w:t>ue to the recovery process from Pierce College’s cyber security incident, much of these process</w:t>
            </w:r>
            <w:r>
              <w:rPr>
                <w:sz w:val="20"/>
                <w:szCs w:val="20"/>
              </w:rPr>
              <w:t xml:space="preserve"> times</w:t>
            </w:r>
            <w:r>
              <w:rPr>
                <w:sz w:val="20"/>
                <w:szCs w:val="20"/>
              </w:rPr>
              <w:t xml:space="preserve"> have been paused and/or extended while staff have been regaining email/computer access.</w:t>
            </w:r>
          </w:p>
        </w:tc>
      </w:tr>
      <w:tr w:rsidR="00B54DE7" w:rsidRPr="00B31A9B" w14:paraId="55081715"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221DAF69" w14:textId="77777777" w:rsidR="00B54DE7" w:rsidRDefault="00B54DE7" w:rsidP="00B54DE7">
            <w:pPr>
              <w:rPr>
                <w:b/>
                <w:bCs/>
                <w:color w:val="000000"/>
                <w:sz w:val="20"/>
                <w:szCs w:val="20"/>
              </w:rPr>
            </w:pPr>
            <w:r>
              <w:rPr>
                <w:b/>
                <w:bCs/>
                <w:color w:val="000000"/>
                <w:sz w:val="20"/>
                <w:szCs w:val="20"/>
              </w:rPr>
              <w:lastRenderedPageBreak/>
              <w:t>Analysis Quarter #2</w:t>
            </w:r>
          </w:p>
          <w:p w14:paraId="67DF16EC" w14:textId="77777777" w:rsidR="00B54DE7" w:rsidRPr="00B31A9B" w:rsidRDefault="00B54DE7" w:rsidP="00684EA1">
            <w:pPr>
              <w:rPr>
                <w:b/>
                <w:bCs/>
                <w:color w:val="000000"/>
                <w:sz w:val="20"/>
                <w:szCs w:val="20"/>
              </w:rPr>
            </w:pP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747F5C62" w14:textId="77777777" w:rsidR="00B54DE7" w:rsidRPr="00B31A9B" w:rsidRDefault="00B54DE7" w:rsidP="00684EA1">
            <w:pPr>
              <w:spacing w:line="312" w:lineRule="auto"/>
              <w:rPr>
                <w:sz w:val="20"/>
                <w:szCs w:val="20"/>
              </w:rPr>
            </w:pPr>
          </w:p>
        </w:tc>
      </w:tr>
      <w:tr w:rsidR="00B54DE7" w:rsidRPr="00B31A9B" w14:paraId="5E4DE3A1" w14:textId="77777777" w:rsidTr="00684EA1">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326A67A8" w14:textId="77777777" w:rsidR="00B54DE7" w:rsidRDefault="00B54DE7" w:rsidP="00B54DE7">
            <w:pPr>
              <w:rPr>
                <w:b/>
                <w:bCs/>
                <w:color w:val="000000"/>
                <w:sz w:val="20"/>
                <w:szCs w:val="20"/>
              </w:rPr>
            </w:pPr>
            <w:r>
              <w:rPr>
                <w:b/>
                <w:bCs/>
                <w:color w:val="000000"/>
                <w:sz w:val="20"/>
                <w:szCs w:val="20"/>
              </w:rPr>
              <w:t>Analysis Quarter #3</w:t>
            </w:r>
          </w:p>
          <w:p w14:paraId="37176881" w14:textId="77777777" w:rsidR="00B54DE7" w:rsidRDefault="00B54DE7" w:rsidP="00B54DE7">
            <w:pPr>
              <w:rPr>
                <w:b/>
                <w:bCs/>
                <w:color w:val="000000"/>
                <w:sz w:val="20"/>
                <w:szCs w:val="20"/>
              </w:rPr>
            </w:pP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1810F9DA" w14:textId="77777777" w:rsidR="00B54DE7" w:rsidRPr="00B31A9B" w:rsidRDefault="00B54DE7" w:rsidP="00684EA1">
            <w:pPr>
              <w:spacing w:line="312" w:lineRule="auto"/>
              <w:rPr>
                <w:sz w:val="20"/>
                <w:szCs w:val="20"/>
              </w:rPr>
            </w:pPr>
          </w:p>
        </w:tc>
      </w:tr>
      <w:tr w:rsidR="001D7F0D" w:rsidRPr="00B31A9B" w14:paraId="53D05775" w14:textId="77777777" w:rsidTr="00C34389">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6C90B047" w14:textId="77777777" w:rsidR="001D7F0D" w:rsidRDefault="001D7F0D" w:rsidP="00C34389">
            <w:pPr>
              <w:rPr>
                <w:b/>
                <w:bCs/>
                <w:color w:val="000000"/>
                <w:sz w:val="20"/>
                <w:szCs w:val="20"/>
              </w:rPr>
            </w:pPr>
            <w:r>
              <w:rPr>
                <w:b/>
                <w:bCs/>
                <w:color w:val="000000"/>
                <w:sz w:val="20"/>
                <w:szCs w:val="20"/>
              </w:rPr>
              <w:t>Analysis Quarter #4</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05C78F47" w14:textId="77777777" w:rsidR="001D7F0D" w:rsidRPr="00B31A9B" w:rsidRDefault="001D7F0D" w:rsidP="00C34389">
            <w:pPr>
              <w:rPr>
                <w:sz w:val="20"/>
                <w:szCs w:val="20"/>
              </w:rPr>
            </w:pPr>
          </w:p>
        </w:tc>
      </w:tr>
    </w:tbl>
    <w:p w14:paraId="41261216" w14:textId="77777777" w:rsidR="001D7F0D" w:rsidRDefault="001D7F0D" w:rsidP="0007700C">
      <w:pPr>
        <w:rPr>
          <w:sz w:val="20"/>
          <w:szCs w:val="20"/>
        </w:rPr>
      </w:pPr>
    </w:p>
    <w:tbl>
      <w:tblPr>
        <w:tblpPr w:leftFromText="180" w:rightFromText="180" w:vertAnchor="text" w:horzAnchor="margin" w:tblpY="-3317"/>
        <w:tblW w:w="14670" w:type="dxa"/>
        <w:tblCellMar>
          <w:left w:w="0" w:type="dxa"/>
          <w:right w:w="0" w:type="dxa"/>
        </w:tblCellMar>
        <w:tblLook w:val="04A0" w:firstRow="1" w:lastRow="0" w:firstColumn="1" w:lastColumn="0" w:noHBand="0" w:noVBand="1"/>
      </w:tblPr>
      <w:tblGrid>
        <w:gridCol w:w="2448"/>
        <w:gridCol w:w="6245"/>
        <w:gridCol w:w="5977"/>
      </w:tblGrid>
      <w:tr w:rsidR="00B31A9B" w:rsidRPr="00B31A9B" w14:paraId="44F81C07" w14:textId="77777777" w:rsidTr="00B31A9B">
        <w:trPr>
          <w:trHeight w:val="55"/>
        </w:trPr>
        <w:tc>
          <w:tcPr>
            <w:tcW w:w="2448" w:type="dxa"/>
            <w:tcBorders>
              <w:top w:val="single" w:sz="18" w:space="0" w:color="auto"/>
              <w:left w:val="single" w:sz="18" w:space="0" w:color="auto"/>
              <w:bottom w:val="single" w:sz="8" w:space="0" w:color="auto"/>
              <w:right w:val="single" w:sz="8" w:space="0" w:color="auto"/>
            </w:tcBorders>
            <w:shd w:val="clear" w:color="auto" w:fill="D9D9D9"/>
            <w:tcMar>
              <w:top w:w="115" w:type="dxa"/>
              <w:left w:w="115" w:type="dxa"/>
              <w:bottom w:w="115" w:type="dxa"/>
              <w:right w:w="115" w:type="dxa"/>
            </w:tcMar>
            <w:vAlign w:val="center"/>
            <w:hideMark/>
          </w:tcPr>
          <w:p w14:paraId="17BDB21C" w14:textId="77777777" w:rsidR="00B31A9B" w:rsidRPr="00B31A9B" w:rsidRDefault="00B31A9B" w:rsidP="00B31A9B">
            <w:pPr>
              <w:jc w:val="center"/>
              <w:rPr>
                <w:b/>
                <w:bCs/>
                <w:sz w:val="20"/>
                <w:szCs w:val="20"/>
              </w:rPr>
            </w:pPr>
            <w:r w:rsidRPr="00B31A9B">
              <w:rPr>
                <w:rFonts w:eastAsia="Times New Roman"/>
                <w:b/>
                <w:bCs/>
                <w:sz w:val="20"/>
                <w:szCs w:val="20"/>
              </w:rPr>
              <w:lastRenderedPageBreak/>
              <w:br w:type="page"/>
            </w:r>
            <w:r w:rsidRPr="00B31A9B">
              <w:rPr>
                <w:b/>
                <w:bCs/>
                <w:color w:val="000000"/>
                <w:sz w:val="20"/>
                <w:szCs w:val="20"/>
              </w:rPr>
              <w:t>Core Expectations</w:t>
            </w:r>
            <w:r w:rsidRPr="00B31A9B">
              <w:rPr>
                <w:color w:val="000000"/>
                <w:sz w:val="20"/>
                <w:szCs w:val="20"/>
              </w:rPr>
              <w:br w:type="page"/>
            </w:r>
          </w:p>
        </w:tc>
        <w:tc>
          <w:tcPr>
            <w:tcW w:w="12222" w:type="dxa"/>
            <w:gridSpan w:val="2"/>
            <w:tcBorders>
              <w:top w:val="single" w:sz="18" w:space="0" w:color="auto"/>
              <w:left w:val="nil"/>
              <w:bottom w:val="single" w:sz="8" w:space="0" w:color="auto"/>
              <w:right w:val="single" w:sz="18" w:space="0" w:color="auto"/>
            </w:tcBorders>
            <w:shd w:val="clear" w:color="auto" w:fill="D9D9D9"/>
            <w:tcMar>
              <w:top w:w="115" w:type="dxa"/>
              <w:left w:w="115" w:type="dxa"/>
              <w:bottom w:w="115" w:type="dxa"/>
              <w:right w:w="115" w:type="dxa"/>
            </w:tcMar>
            <w:vAlign w:val="center"/>
            <w:hideMark/>
          </w:tcPr>
          <w:p w14:paraId="63669ABC" w14:textId="77777777" w:rsidR="00B31A9B" w:rsidRDefault="002E1028" w:rsidP="00B31A9B">
            <w:pPr>
              <w:jc w:val="center"/>
              <w:rPr>
                <w:b/>
                <w:bCs/>
                <w:color w:val="000000"/>
                <w:sz w:val="20"/>
                <w:szCs w:val="20"/>
              </w:rPr>
            </w:pPr>
            <w:r>
              <w:rPr>
                <w:b/>
                <w:bCs/>
                <w:color w:val="000000"/>
                <w:sz w:val="20"/>
                <w:szCs w:val="20"/>
              </w:rPr>
              <w:t>Activity #5</w:t>
            </w:r>
            <w:r w:rsidR="00B31A9B" w:rsidRPr="00B31A9B">
              <w:rPr>
                <w:b/>
                <w:bCs/>
                <w:color w:val="000000"/>
                <w:sz w:val="20"/>
                <w:szCs w:val="20"/>
              </w:rPr>
              <w:t xml:space="preserve"> </w:t>
            </w:r>
          </w:p>
          <w:p w14:paraId="724B11D5" w14:textId="77777777" w:rsidR="00036A3F" w:rsidRPr="00B31A9B" w:rsidRDefault="00036A3F" w:rsidP="00B31A9B">
            <w:pPr>
              <w:jc w:val="center"/>
              <w:rPr>
                <w:b/>
                <w:bCs/>
                <w:sz w:val="20"/>
                <w:szCs w:val="20"/>
              </w:rPr>
            </w:pPr>
            <w:r w:rsidRPr="00B31A9B">
              <w:rPr>
                <w:b/>
                <w:bCs/>
                <w:sz w:val="20"/>
                <w:szCs w:val="20"/>
              </w:rPr>
              <w:t>CTE Cluster</w:t>
            </w:r>
            <w:r>
              <w:rPr>
                <w:b/>
                <w:bCs/>
                <w:sz w:val="20"/>
                <w:szCs w:val="20"/>
              </w:rPr>
              <w:t xml:space="preserve"> Education Attainment</w:t>
            </w:r>
          </w:p>
        </w:tc>
      </w:tr>
      <w:tr w:rsidR="00B31A9B" w:rsidRPr="00B31A9B" w14:paraId="519CA311" w14:textId="77777777" w:rsidTr="00B31A9B">
        <w:trPr>
          <w:trHeight w:val="775"/>
        </w:trPr>
        <w:tc>
          <w:tcPr>
            <w:tcW w:w="2448" w:type="dxa"/>
            <w:tcBorders>
              <w:top w:val="nil"/>
              <w:left w:val="single" w:sz="18" w:space="0" w:color="auto"/>
              <w:bottom w:val="single" w:sz="8" w:space="0" w:color="auto"/>
              <w:right w:val="single" w:sz="8" w:space="0" w:color="auto"/>
            </w:tcBorders>
            <w:tcMar>
              <w:top w:w="115" w:type="dxa"/>
              <w:left w:w="115" w:type="dxa"/>
              <w:bottom w:w="115" w:type="dxa"/>
              <w:right w:w="115" w:type="dxa"/>
            </w:tcMar>
            <w:vAlign w:val="center"/>
            <w:hideMark/>
          </w:tcPr>
          <w:p w14:paraId="7D5817EC" w14:textId="77777777" w:rsidR="00B31A9B" w:rsidRPr="00B31A9B" w:rsidRDefault="001A2AC6" w:rsidP="00B31A9B">
            <w:pPr>
              <w:spacing w:line="480" w:lineRule="auto"/>
              <w:rPr>
                <w:sz w:val="20"/>
                <w:szCs w:val="20"/>
              </w:rPr>
            </w:pPr>
            <w:sdt>
              <w:sdtPr>
                <w:rPr>
                  <w:sz w:val="20"/>
                  <w:szCs w:val="20"/>
                </w:rPr>
                <w:id w:val="1901017777"/>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Economic Development</w:t>
            </w:r>
          </w:p>
          <w:p w14:paraId="379AC1B4" w14:textId="77777777" w:rsidR="00B31A9B" w:rsidRPr="00B31A9B" w:rsidRDefault="001A2AC6" w:rsidP="00B31A9B">
            <w:pPr>
              <w:spacing w:line="480" w:lineRule="auto"/>
              <w:rPr>
                <w:sz w:val="20"/>
                <w:szCs w:val="20"/>
              </w:rPr>
            </w:pPr>
            <w:sdt>
              <w:sdtPr>
                <w:rPr>
                  <w:sz w:val="20"/>
                  <w:szCs w:val="20"/>
                </w:rPr>
                <w:id w:val="-508832380"/>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Sector Strategy</w:t>
            </w:r>
          </w:p>
          <w:p w14:paraId="4705F1BA" w14:textId="77777777" w:rsidR="00B31A9B" w:rsidRPr="00B31A9B" w:rsidRDefault="001A2AC6" w:rsidP="00B31A9B">
            <w:pPr>
              <w:spacing w:line="480" w:lineRule="auto"/>
              <w:rPr>
                <w:sz w:val="20"/>
                <w:szCs w:val="20"/>
              </w:rPr>
            </w:pPr>
            <w:sdt>
              <w:sdtPr>
                <w:rPr>
                  <w:sz w:val="20"/>
                  <w:szCs w:val="20"/>
                </w:rPr>
                <w:id w:val="-1970277829"/>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Ed/Innovation/Efficiency</w:t>
            </w:r>
          </w:p>
          <w:p w14:paraId="4A175685" w14:textId="77777777" w:rsidR="00B31A9B" w:rsidRPr="00B31A9B" w:rsidRDefault="001A2AC6" w:rsidP="00B31A9B">
            <w:pPr>
              <w:spacing w:line="480" w:lineRule="auto"/>
              <w:rPr>
                <w:sz w:val="20"/>
                <w:szCs w:val="20"/>
              </w:rPr>
            </w:pPr>
            <w:sdt>
              <w:sdtPr>
                <w:rPr>
                  <w:sz w:val="20"/>
                  <w:szCs w:val="20"/>
                </w:rPr>
                <w:id w:val="1034534535"/>
                <w14:checkbox>
                  <w14:checked w14:val="1"/>
                  <w14:checkedState w14:val="2612" w14:font="MS Gothic"/>
                  <w14:uncheckedState w14:val="2610" w14:font="MS Gothic"/>
                </w14:checkbox>
              </w:sdtPr>
              <w:sdtEndPr/>
              <w:sdtContent>
                <w:r w:rsidR="00B31A9B" w:rsidRPr="00B31A9B">
                  <w:rPr>
                    <w:rFonts w:ascii="Segoe UI Symbol" w:hAnsi="Segoe UI Symbol"/>
                    <w:sz w:val="20"/>
                    <w:szCs w:val="20"/>
                  </w:rPr>
                  <w:t>☒</w:t>
                </w:r>
              </w:sdtContent>
            </w:sdt>
            <w:r w:rsidR="00B31A9B" w:rsidRPr="00B31A9B">
              <w:rPr>
                <w:sz w:val="20"/>
                <w:szCs w:val="20"/>
              </w:rPr>
              <w:t xml:space="preserve"> Supply/Demand</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tcPr>
          <w:p w14:paraId="7C5F0002" w14:textId="77777777" w:rsidR="00B31A9B" w:rsidRPr="00B31A9B" w:rsidRDefault="00B31A9B" w:rsidP="00B31A9B">
            <w:pPr>
              <w:spacing w:line="312" w:lineRule="auto"/>
              <w:rPr>
                <w:b/>
                <w:bCs/>
                <w:sz w:val="20"/>
                <w:szCs w:val="20"/>
              </w:rPr>
            </w:pPr>
            <w:r w:rsidRPr="00B31A9B">
              <w:rPr>
                <w:b/>
                <w:bCs/>
                <w:sz w:val="20"/>
                <w:szCs w:val="20"/>
              </w:rPr>
              <w:t>CTE Cluster: Law, Public Safety, Corrections and Security Educational Attainment</w:t>
            </w:r>
          </w:p>
          <w:p w14:paraId="639048CE" w14:textId="77777777" w:rsidR="00B31A9B" w:rsidRDefault="00B31A9B" w:rsidP="00142E8F">
            <w:pPr>
              <w:rPr>
                <w:sz w:val="20"/>
                <w:szCs w:val="20"/>
              </w:rPr>
            </w:pPr>
            <w:r w:rsidRPr="00B31A9B">
              <w:rPr>
                <w:sz w:val="20"/>
                <w:szCs w:val="20"/>
              </w:rPr>
              <w:t xml:space="preserve">The state currently supports over 86,000 employees in the CTE Cluster of law, public safety, corrections, and security.  There is a growing demand in this cluster for security and protective service professionals, law enforcement, firefighters, and emergency medical technicians. Governmental and public service organizations employ about </w:t>
            </w:r>
            <w:r w:rsidR="005F6489">
              <w:rPr>
                <w:sz w:val="20"/>
                <w:szCs w:val="20"/>
              </w:rPr>
              <w:t>40% of the workforce, with 60</w:t>
            </w:r>
            <w:r w:rsidRPr="00B31A9B">
              <w:rPr>
                <w:sz w:val="20"/>
                <w:szCs w:val="20"/>
              </w:rPr>
              <w:t>% employment in the private sector. Careers are also in the recreational industries,</w:t>
            </w:r>
            <w:r w:rsidR="00142E8F">
              <w:rPr>
                <w:sz w:val="20"/>
                <w:szCs w:val="20"/>
              </w:rPr>
              <w:t xml:space="preserve"> mental and health care, private risk management, supply change, and cybersecurity, </w:t>
            </w:r>
            <w:r w:rsidR="00142E8F" w:rsidRPr="00B31A9B">
              <w:rPr>
                <w:sz w:val="20"/>
                <w:szCs w:val="20"/>
              </w:rPr>
              <w:t>insurance</w:t>
            </w:r>
            <w:r w:rsidRPr="00B31A9B">
              <w:rPr>
                <w:sz w:val="20"/>
                <w:szCs w:val="20"/>
              </w:rPr>
              <w:t xml:space="preserve"> carriers, and general merchandi</w:t>
            </w:r>
            <w:r w:rsidR="00142E8F">
              <w:rPr>
                <w:sz w:val="20"/>
                <w:szCs w:val="20"/>
              </w:rPr>
              <w:t>se stores/warehouse enterprises.</w:t>
            </w:r>
            <w:r w:rsidR="00B010FF">
              <w:rPr>
                <w:sz w:val="20"/>
                <w:szCs w:val="20"/>
              </w:rPr>
              <w:t xml:space="preserve">  </w:t>
            </w:r>
          </w:p>
          <w:p w14:paraId="3145FF3F" w14:textId="77777777" w:rsidR="00B010FF" w:rsidRDefault="00B010FF" w:rsidP="00142E8F">
            <w:pPr>
              <w:rPr>
                <w:sz w:val="20"/>
                <w:szCs w:val="20"/>
              </w:rPr>
            </w:pPr>
          </w:p>
          <w:p w14:paraId="655DE9C1" w14:textId="77777777" w:rsidR="00B010FF" w:rsidRPr="00B31A9B" w:rsidRDefault="00B010FF" w:rsidP="00142E8F">
            <w:pPr>
              <w:rPr>
                <w:sz w:val="20"/>
                <w:szCs w:val="20"/>
              </w:rPr>
            </w:pPr>
            <w:r>
              <w:rPr>
                <w:sz w:val="20"/>
                <w:szCs w:val="20"/>
              </w:rPr>
              <w:t xml:space="preserve">Center continues its collaboration with SBCTC liaisons to implement a number of workforce education legislative provisos and other initiates addressing law enforcement and public safety services.   ESSB 5187 created the workforce education investment account with a state appropriation provided solely for the SBCTC to work with colleges and interested parties </w:t>
            </w:r>
            <w:proofErr w:type="gramStart"/>
            <w:r>
              <w:rPr>
                <w:sz w:val="20"/>
                <w:szCs w:val="20"/>
              </w:rPr>
              <w:t>e.g.</w:t>
            </w:r>
            <w:proofErr w:type="gramEnd"/>
            <w:r>
              <w:rPr>
                <w:sz w:val="20"/>
                <w:szCs w:val="20"/>
              </w:rPr>
              <w:t xml:space="preserve"> local law enforcement, WSP, to assess the recruitment and retention challenges for their agencies and develop recommendation to meet workforce needs.</w:t>
            </w:r>
          </w:p>
          <w:p w14:paraId="5EDD7118" w14:textId="77777777" w:rsidR="00B31A9B" w:rsidRPr="00B31A9B" w:rsidRDefault="00B31A9B" w:rsidP="00142E8F">
            <w:pPr>
              <w:rPr>
                <w:sz w:val="20"/>
                <w:szCs w:val="20"/>
              </w:rPr>
            </w:pPr>
          </w:p>
          <w:p w14:paraId="704899B5" w14:textId="77777777" w:rsidR="00B31A9B" w:rsidRPr="00B31A9B" w:rsidRDefault="00B31A9B" w:rsidP="00B31A9B">
            <w:pPr>
              <w:spacing w:line="312" w:lineRule="auto"/>
              <w:rPr>
                <w:sz w:val="20"/>
                <w:szCs w:val="20"/>
              </w:rPr>
            </w:pPr>
          </w:p>
          <w:p w14:paraId="2C3D957D" w14:textId="77777777" w:rsidR="00B31A9B" w:rsidRPr="00B31A9B" w:rsidRDefault="00B31A9B" w:rsidP="00142E8F">
            <w:pPr>
              <w:spacing w:line="312" w:lineRule="auto"/>
              <w:rPr>
                <w:rFonts w:eastAsia="Times New Roman"/>
                <w:sz w:val="20"/>
                <w:szCs w:val="20"/>
              </w:rPr>
            </w:pPr>
          </w:p>
        </w:tc>
      </w:tr>
      <w:tr w:rsidR="00B31A9B" w:rsidRPr="00B31A9B" w14:paraId="15C185FD"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D9D9D9"/>
            <w:tcMar>
              <w:top w:w="115" w:type="dxa"/>
              <w:left w:w="115" w:type="dxa"/>
              <w:bottom w:w="115" w:type="dxa"/>
              <w:right w:w="115" w:type="dxa"/>
            </w:tcMar>
            <w:hideMark/>
          </w:tcPr>
          <w:p w14:paraId="0128A809" w14:textId="77777777" w:rsidR="00B31A9B" w:rsidRPr="00B31A9B" w:rsidRDefault="00B31A9B" w:rsidP="00B31A9B">
            <w:pPr>
              <w:spacing w:line="312" w:lineRule="auto"/>
              <w:jc w:val="center"/>
              <w:rPr>
                <w:b/>
                <w:bCs/>
                <w:sz w:val="20"/>
                <w:szCs w:val="20"/>
              </w:rPr>
            </w:pPr>
            <w:r w:rsidRPr="00B31A9B">
              <w:rPr>
                <w:b/>
                <w:bCs/>
                <w:color w:val="000000"/>
                <w:sz w:val="20"/>
                <w:szCs w:val="20"/>
              </w:rPr>
              <w:t>Funding Sources %</w:t>
            </w:r>
          </w:p>
        </w:tc>
        <w:tc>
          <w:tcPr>
            <w:tcW w:w="6245" w:type="dxa"/>
            <w:tcBorders>
              <w:top w:val="nil"/>
              <w:left w:val="nil"/>
              <w:bottom w:val="single" w:sz="8" w:space="0" w:color="auto"/>
              <w:right w:val="single" w:sz="8" w:space="0" w:color="auto"/>
            </w:tcBorders>
            <w:shd w:val="clear" w:color="auto" w:fill="D9D9D9"/>
            <w:tcMar>
              <w:top w:w="115" w:type="dxa"/>
              <w:left w:w="115" w:type="dxa"/>
              <w:bottom w:w="115" w:type="dxa"/>
              <w:right w:w="115" w:type="dxa"/>
            </w:tcMar>
            <w:hideMark/>
          </w:tcPr>
          <w:p w14:paraId="0FC3011E" w14:textId="77777777" w:rsidR="00B31A9B" w:rsidRPr="00B31A9B" w:rsidRDefault="00B31A9B" w:rsidP="00B31A9B">
            <w:pPr>
              <w:spacing w:line="312" w:lineRule="auto"/>
              <w:jc w:val="center"/>
              <w:rPr>
                <w:b/>
                <w:bCs/>
                <w:sz w:val="20"/>
                <w:szCs w:val="20"/>
              </w:rPr>
            </w:pPr>
            <w:r w:rsidRPr="00B31A9B">
              <w:rPr>
                <w:b/>
                <w:bCs/>
                <w:color w:val="000000"/>
                <w:sz w:val="20"/>
                <w:szCs w:val="20"/>
              </w:rPr>
              <w:t>Purpose</w:t>
            </w:r>
          </w:p>
        </w:tc>
        <w:tc>
          <w:tcPr>
            <w:tcW w:w="5977" w:type="dxa"/>
            <w:tcBorders>
              <w:top w:val="nil"/>
              <w:left w:val="nil"/>
              <w:bottom w:val="single" w:sz="8" w:space="0" w:color="auto"/>
              <w:right w:val="single" w:sz="18" w:space="0" w:color="auto"/>
            </w:tcBorders>
            <w:shd w:val="clear" w:color="auto" w:fill="D9D9D9"/>
            <w:tcMar>
              <w:top w:w="115" w:type="dxa"/>
              <w:left w:w="115" w:type="dxa"/>
              <w:bottom w:w="115" w:type="dxa"/>
              <w:right w:w="115" w:type="dxa"/>
            </w:tcMar>
            <w:hideMark/>
          </w:tcPr>
          <w:p w14:paraId="470E96F1" w14:textId="77777777" w:rsidR="00B31A9B" w:rsidRPr="00B31A9B" w:rsidRDefault="00B31A9B" w:rsidP="00B31A9B">
            <w:pPr>
              <w:spacing w:line="312" w:lineRule="auto"/>
              <w:jc w:val="center"/>
              <w:rPr>
                <w:b/>
                <w:bCs/>
                <w:sz w:val="20"/>
                <w:szCs w:val="20"/>
              </w:rPr>
            </w:pPr>
            <w:r w:rsidRPr="00B31A9B">
              <w:rPr>
                <w:b/>
                <w:bCs/>
                <w:color w:val="000000"/>
                <w:sz w:val="20"/>
                <w:szCs w:val="20"/>
              </w:rPr>
              <w:t>Projected Outcomes and Products</w:t>
            </w:r>
          </w:p>
        </w:tc>
      </w:tr>
      <w:tr w:rsidR="00B31A9B" w:rsidRPr="00B31A9B" w14:paraId="7B88B0DA" w14:textId="77777777" w:rsidTr="00B31A9B">
        <w:trPr>
          <w:trHeight w:val="351"/>
        </w:trPr>
        <w:tc>
          <w:tcPr>
            <w:tcW w:w="2448" w:type="dxa"/>
            <w:tcBorders>
              <w:top w:val="nil"/>
              <w:left w:val="single" w:sz="18" w:space="0" w:color="auto"/>
              <w:bottom w:val="single" w:sz="18" w:space="0" w:color="auto"/>
              <w:right w:val="single" w:sz="8" w:space="0" w:color="auto"/>
            </w:tcBorders>
            <w:tcMar>
              <w:top w:w="115" w:type="dxa"/>
              <w:left w:w="115" w:type="dxa"/>
              <w:bottom w:w="115" w:type="dxa"/>
              <w:right w:w="115" w:type="dxa"/>
            </w:tcMar>
            <w:hideMark/>
          </w:tcPr>
          <w:p w14:paraId="3C3E0264" w14:textId="77777777" w:rsidR="00B31A9B" w:rsidRPr="00B31A9B" w:rsidRDefault="002C5A5B" w:rsidP="002C5A5B">
            <w:pPr>
              <w:spacing w:line="312" w:lineRule="auto"/>
              <w:rPr>
                <w:sz w:val="20"/>
                <w:szCs w:val="20"/>
              </w:rPr>
            </w:pPr>
            <w:r>
              <w:rPr>
                <w:sz w:val="20"/>
                <w:szCs w:val="20"/>
              </w:rPr>
              <w:t>CO</w:t>
            </w:r>
            <w:r w:rsidR="00B31A9B" w:rsidRPr="00B31A9B">
              <w:rPr>
                <w:sz w:val="20"/>
                <w:szCs w:val="20"/>
              </w:rPr>
              <w:t xml:space="preserve">E </w:t>
            </w:r>
            <w:r>
              <w:rPr>
                <w:sz w:val="20"/>
                <w:szCs w:val="20"/>
              </w:rPr>
              <w:t>Resilience</w:t>
            </w:r>
            <w:r w:rsidR="00B31A9B" w:rsidRPr="00B31A9B">
              <w:rPr>
                <w:sz w:val="20"/>
                <w:szCs w:val="20"/>
              </w:rPr>
              <w:t xml:space="preserve"> – 100%</w:t>
            </w:r>
          </w:p>
        </w:tc>
        <w:tc>
          <w:tcPr>
            <w:tcW w:w="6245" w:type="dxa"/>
            <w:tcBorders>
              <w:top w:val="nil"/>
              <w:left w:val="nil"/>
              <w:bottom w:val="single" w:sz="18" w:space="0" w:color="auto"/>
              <w:right w:val="single" w:sz="8" w:space="0" w:color="auto"/>
            </w:tcBorders>
            <w:tcMar>
              <w:top w:w="115" w:type="dxa"/>
              <w:left w:w="115" w:type="dxa"/>
              <w:bottom w:w="115" w:type="dxa"/>
              <w:right w:w="115" w:type="dxa"/>
            </w:tcMar>
            <w:hideMark/>
          </w:tcPr>
          <w:p w14:paraId="31EE9B1C" w14:textId="77777777" w:rsidR="00B31A9B" w:rsidRPr="00B31A9B" w:rsidRDefault="00B31A9B" w:rsidP="00142E8F">
            <w:pPr>
              <w:numPr>
                <w:ilvl w:val="0"/>
                <w:numId w:val="14"/>
              </w:numPr>
              <w:rPr>
                <w:rFonts w:eastAsia="Times New Roman"/>
                <w:sz w:val="20"/>
                <w:szCs w:val="20"/>
              </w:rPr>
            </w:pPr>
            <w:r w:rsidRPr="00B31A9B">
              <w:rPr>
                <w:rFonts w:eastAsia="Times New Roman"/>
                <w:sz w:val="20"/>
                <w:szCs w:val="20"/>
              </w:rPr>
              <w:t>Center</w:t>
            </w:r>
            <w:r w:rsidR="00552A15">
              <w:rPr>
                <w:rFonts w:eastAsia="Times New Roman"/>
                <w:sz w:val="20"/>
                <w:szCs w:val="20"/>
              </w:rPr>
              <w:t>s involvement with</w:t>
            </w:r>
            <w:r w:rsidRPr="00B31A9B">
              <w:rPr>
                <w:rFonts w:eastAsia="Times New Roman"/>
                <w:sz w:val="20"/>
                <w:szCs w:val="20"/>
              </w:rPr>
              <w:t xml:space="preserve"> CTE Cluster identifies barriers to meeting SBCTC EDI goals by building a diverse workforce.</w:t>
            </w:r>
          </w:p>
          <w:p w14:paraId="29C1406A" w14:textId="77777777" w:rsidR="00B31A9B" w:rsidRPr="00B31A9B" w:rsidRDefault="00B31A9B" w:rsidP="00142E8F">
            <w:pPr>
              <w:numPr>
                <w:ilvl w:val="0"/>
                <w:numId w:val="14"/>
              </w:numPr>
              <w:rPr>
                <w:rFonts w:eastAsia="Times New Roman"/>
                <w:sz w:val="20"/>
                <w:szCs w:val="20"/>
              </w:rPr>
            </w:pPr>
            <w:r w:rsidRPr="00B31A9B">
              <w:rPr>
                <w:rFonts w:eastAsia="Times New Roman"/>
                <w:sz w:val="20"/>
                <w:szCs w:val="20"/>
              </w:rPr>
              <w:t>Expanding and supporting effective program partnerships to address relevant training/education.</w:t>
            </w:r>
          </w:p>
          <w:p w14:paraId="75D0E1AB" w14:textId="77777777" w:rsidR="00B31A9B" w:rsidRDefault="00552A15" w:rsidP="00142E8F">
            <w:pPr>
              <w:numPr>
                <w:ilvl w:val="0"/>
                <w:numId w:val="14"/>
              </w:numPr>
              <w:rPr>
                <w:rFonts w:eastAsia="Times New Roman"/>
                <w:sz w:val="20"/>
                <w:szCs w:val="20"/>
              </w:rPr>
            </w:pPr>
            <w:r>
              <w:rPr>
                <w:rFonts w:eastAsia="Times New Roman"/>
                <w:sz w:val="20"/>
                <w:szCs w:val="20"/>
              </w:rPr>
              <w:t>Identifies</w:t>
            </w:r>
            <w:r w:rsidR="00B31A9B" w:rsidRPr="00B31A9B">
              <w:rPr>
                <w:rFonts w:eastAsia="Times New Roman"/>
                <w:sz w:val="20"/>
                <w:szCs w:val="20"/>
              </w:rPr>
              <w:t xml:space="preserve"> training capacity, skills gaps, best practices, and supporting HRB 1168 forest health workforce development.</w:t>
            </w:r>
          </w:p>
          <w:p w14:paraId="696E620B" w14:textId="77777777" w:rsidR="00B010FF" w:rsidRPr="00B010FF" w:rsidRDefault="003D00E9" w:rsidP="00B010FF">
            <w:pPr>
              <w:pStyle w:val="ListParagraph"/>
              <w:numPr>
                <w:ilvl w:val="0"/>
                <w:numId w:val="14"/>
              </w:numPr>
              <w:spacing w:line="240" w:lineRule="auto"/>
              <w:rPr>
                <w:rFonts w:eastAsia="Times New Roman"/>
                <w:sz w:val="20"/>
                <w:szCs w:val="20"/>
              </w:rPr>
            </w:pPr>
            <w:r>
              <w:t xml:space="preserve">Supports and participates in the SBCTC SSEM Council’s </w:t>
            </w:r>
            <w:r w:rsidR="00F64C34">
              <w:t xml:space="preserve">which facilitates communication and collaboration amongst </w:t>
            </w:r>
            <w:r>
              <w:t>in order to p</w:t>
            </w:r>
            <w:r w:rsidR="00F64C34">
              <w:t xml:space="preserve">rovide leadership and professional development related to safety, security </w:t>
            </w:r>
            <w:r>
              <w:t>and emergency management</w:t>
            </w:r>
            <w:r w:rsidR="00B010FF">
              <w:t xml:space="preserve"> which works to: </w:t>
            </w:r>
          </w:p>
          <w:p w14:paraId="4AB422D4" w14:textId="77777777" w:rsidR="00B010FF" w:rsidRPr="00B010FF" w:rsidRDefault="00740C9C" w:rsidP="00B010FF">
            <w:pPr>
              <w:pStyle w:val="ListParagraph"/>
              <w:numPr>
                <w:ilvl w:val="1"/>
                <w:numId w:val="14"/>
              </w:numPr>
              <w:spacing w:line="240" w:lineRule="auto"/>
              <w:rPr>
                <w:rFonts w:eastAsia="Times New Roman"/>
                <w:sz w:val="20"/>
                <w:szCs w:val="20"/>
              </w:rPr>
            </w:pPr>
            <w:r>
              <w:t xml:space="preserve">facilitate </w:t>
            </w:r>
            <w:r w:rsidR="003D00E9">
              <w:t>communication</w:t>
            </w:r>
            <w:r w:rsidR="00F64C34">
              <w:t xml:space="preserve"> and information sharing network</w:t>
            </w:r>
            <w:r w:rsidR="00B010FF">
              <w:t>;</w:t>
            </w:r>
          </w:p>
          <w:p w14:paraId="7BA8E8E4" w14:textId="77777777" w:rsidR="00B010FF" w:rsidRPr="00B010FF" w:rsidRDefault="003D00E9" w:rsidP="00B010FF">
            <w:pPr>
              <w:pStyle w:val="ListParagraph"/>
              <w:numPr>
                <w:ilvl w:val="1"/>
                <w:numId w:val="14"/>
              </w:numPr>
              <w:spacing w:line="240" w:lineRule="auto"/>
              <w:rPr>
                <w:rFonts w:eastAsia="Times New Roman"/>
                <w:sz w:val="20"/>
                <w:szCs w:val="20"/>
              </w:rPr>
            </w:pPr>
            <w:r>
              <w:t>identifies</w:t>
            </w:r>
            <w:r w:rsidR="00F64C34">
              <w:t xml:space="preserve"> best practices</w:t>
            </w:r>
            <w:r w:rsidR="00B010FF">
              <w:t>;</w:t>
            </w:r>
          </w:p>
          <w:p w14:paraId="19FB76C8" w14:textId="77777777" w:rsidR="00B010FF" w:rsidRPr="00B010FF" w:rsidRDefault="003D00E9" w:rsidP="00B010FF">
            <w:pPr>
              <w:pStyle w:val="ListParagraph"/>
              <w:numPr>
                <w:ilvl w:val="1"/>
                <w:numId w:val="14"/>
              </w:numPr>
              <w:spacing w:line="240" w:lineRule="auto"/>
              <w:rPr>
                <w:rFonts w:eastAsia="Times New Roman"/>
                <w:sz w:val="20"/>
                <w:szCs w:val="20"/>
              </w:rPr>
            </w:pPr>
            <w:r>
              <w:t>w</w:t>
            </w:r>
            <w:r w:rsidR="00F64C34">
              <w:t>ork</w:t>
            </w:r>
            <w:r w:rsidR="00B010FF">
              <w:t>s</w:t>
            </w:r>
            <w:r w:rsidR="00F64C34">
              <w:t xml:space="preserve"> </w:t>
            </w:r>
            <w:r w:rsidR="00740C9C">
              <w:t>w/</w:t>
            </w:r>
            <w:r w:rsidR="00F64C34">
              <w:t>councils and commissions, local jurisdiction</w:t>
            </w:r>
            <w:r>
              <w:t>s</w:t>
            </w:r>
            <w:r w:rsidR="00F64C34">
              <w:t xml:space="preserve"> </w:t>
            </w:r>
            <w:r>
              <w:t>to enhance</w:t>
            </w:r>
            <w:r w:rsidR="00F64C34">
              <w:t xml:space="preserve"> capabilities </w:t>
            </w:r>
            <w:r w:rsidR="000C0569">
              <w:t>on campuses</w:t>
            </w:r>
            <w:r w:rsidR="00B010FF">
              <w:t>;</w:t>
            </w:r>
          </w:p>
          <w:p w14:paraId="5F08852F" w14:textId="77777777" w:rsidR="00B96053" w:rsidRPr="00B96053" w:rsidRDefault="003D00E9" w:rsidP="00B010FF">
            <w:pPr>
              <w:pStyle w:val="ListParagraph"/>
              <w:numPr>
                <w:ilvl w:val="1"/>
                <w:numId w:val="14"/>
              </w:numPr>
              <w:spacing w:line="240" w:lineRule="auto"/>
              <w:rPr>
                <w:rFonts w:eastAsia="Times New Roman"/>
                <w:sz w:val="20"/>
                <w:szCs w:val="20"/>
              </w:rPr>
            </w:pPr>
            <w:r>
              <w:t>provide</w:t>
            </w:r>
            <w:r w:rsidR="00740C9C">
              <w:t>s</w:t>
            </w:r>
            <w:r w:rsidR="00F64C34">
              <w:t xml:space="preserve"> students, faculty and staff </w:t>
            </w:r>
            <w:r w:rsidR="00740C9C">
              <w:t xml:space="preserve">information </w:t>
            </w:r>
            <w:r w:rsidR="00B010FF">
              <w:t xml:space="preserve">&amp; </w:t>
            </w:r>
            <w:r w:rsidR="00740C9C">
              <w:t xml:space="preserve">training for </w:t>
            </w:r>
            <w:r w:rsidR="00F64C34">
              <w:t>preparedness</w:t>
            </w:r>
            <w:r w:rsidR="00740C9C">
              <w:t>.</w:t>
            </w:r>
            <w:r w:rsidR="00F64C34">
              <w:t xml:space="preserve"> </w:t>
            </w:r>
          </w:p>
        </w:tc>
        <w:tc>
          <w:tcPr>
            <w:tcW w:w="5977" w:type="dxa"/>
            <w:tcBorders>
              <w:top w:val="nil"/>
              <w:left w:val="nil"/>
              <w:bottom w:val="single" w:sz="18" w:space="0" w:color="auto"/>
              <w:right w:val="single" w:sz="18" w:space="0" w:color="auto"/>
            </w:tcBorders>
            <w:tcMar>
              <w:top w:w="115" w:type="dxa"/>
              <w:left w:w="115" w:type="dxa"/>
              <w:bottom w:w="115" w:type="dxa"/>
              <w:right w:w="115" w:type="dxa"/>
            </w:tcMar>
          </w:tcPr>
          <w:p w14:paraId="64EA548F" w14:textId="7D480DB3" w:rsidR="00B96053" w:rsidRPr="00976354" w:rsidRDefault="00B010FF" w:rsidP="00FE66E8">
            <w:pPr>
              <w:pStyle w:val="ListParagraph"/>
              <w:numPr>
                <w:ilvl w:val="0"/>
                <w:numId w:val="42"/>
              </w:numPr>
              <w:spacing w:line="240" w:lineRule="auto"/>
              <w:rPr>
                <w:rFonts w:eastAsia="Times New Roman"/>
                <w:sz w:val="20"/>
                <w:szCs w:val="20"/>
              </w:rPr>
            </w:pPr>
            <w:r w:rsidRPr="00976354">
              <w:rPr>
                <w:rFonts w:eastAsia="Times New Roman"/>
                <w:sz w:val="20"/>
                <w:szCs w:val="20"/>
              </w:rPr>
              <w:t>C</w:t>
            </w:r>
            <w:r w:rsidR="00FE66E8">
              <w:rPr>
                <w:rFonts w:eastAsia="Times New Roman"/>
                <w:sz w:val="20"/>
                <w:szCs w:val="20"/>
              </w:rPr>
              <w:t xml:space="preserve">enter </w:t>
            </w:r>
            <w:r w:rsidRPr="00976354">
              <w:rPr>
                <w:rFonts w:eastAsia="Times New Roman"/>
                <w:sz w:val="20"/>
                <w:szCs w:val="20"/>
              </w:rPr>
              <w:t>continue</w:t>
            </w:r>
            <w:r w:rsidR="00FE66E8">
              <w:rPr>
                <w:rFonts w:eastAsia="Times New Roman"/>
                <w:sz w:val="20"/>
                <w:szCs w:val="20"/>
              </w:rPr>
              <w:t>s</w:t>
            </w:r>
            <w:r w:rsidRPr="00976354">
              <w:rPr>
                <w:rFonts w:eastAsia="Times New Roman"/>
                <w:sz w:val="20"/>
                <w:szCs w:val="20"/>
              </w:rPr>
              <w:t xml:space="preserve"> to work with SBCTC and partners on implementing </w:t>
            </w:r>
            <w:r w:rsidR="00B96053" w:rsidRPr="00976354">
              <w:rPr>
                <w:rFonts w:eastAsia="Times New Roman"/>
                <w:sz w:val="20"/>
                <w:szCs w:val="20"/>
              </w:rPr>
              <w:t>ESSB 5187</w:t>
            </w:r>
            <w:r w:rsidRPr="00976354">
              <w:rPr>
                <w:rFonts w:eastAsia="Times New Roman"/>
                <w:sz w:val="20"/>
                <w:szCs w:val="20"/>
              </w:rPr>
              <w:t xml:space="preserve"> which</w:t>
            </w:r>
            <w:r w:rsidR="00B96053" w:rsidRPr="00976354">
              <w:rPr>
                <w:rFonts w:eastAsia="Times New Roman"/>
                <w:sz w:val="20"/>
                <w:szCs w:val="20"/>
              </w:rPr>
              <w:t xml:space="preserve"> </w:t>
            </w:r>
            <w:r w:rsidRPr="00976354">
              <w:rPr>
                <w:rFonts w:eastAsia="Times New Roman"/>
                <w:sz w:val="20"/>
                <w:szCs w:val="20"/>
              </w:rPr>
              <w:t xml:space="preserve">identified </w:t>
            </w:r>
            <w:r w:rsidR="00B96053" w:rsidRPr="00976354">
              <w:rPr>
                <w:rFonts w:eastAsia="Times New Roman"/>
                <w:sz w:val="20"/>
                <w:szCs w:val="20"/>
              </w:rPr>
              <w:t>workforce recommendation</w:t>
            </w:r>
            <w:r w:rsidRPr="00976354">
              <w:rPr>
                <w:rFonts w:eastAsia="Times New Roman"/>
                <w:sz w:val="20"/>
                <w:szCs w:val="20"/>
              </w:rPr>
              <w:t>s</w:t>
            </w:r>
            <w:r w:rsidR="00B96053" w:rsidRPr="00976354">
              <w:rPr>
                <w:rFonts w:eastAsia="Times New Roman"/>
                <w:sz w:val="20"/>
                <w:szCs w:val="20"/>
              </w:rPr>
              <w:t xml:space="preserve"> </w:t>
            </w:r>
            <w:r w:rsidRPr="00976354">
              <w:rPr>
                <w:rFonts w:eastAsia="Times New Roman"/>
                <w:sz w:val="20"/>
                <w:szCs w:val="20"/>
              </w:rPr>
              <w:t>focused on education</w:t>
            </w:r>
            <w:r w:rsidR="00B96053" w:rsidRPr="00976354">
              <w:rPr>
                <w:rFonts w:eastAsia="Times New Roman"/>
                <w:sz w:val="20"/>
                <w:szCs w:val="20"/>
              </w:rPr>
              <w:t xml:space="preserve"> and training programs and </w:t>
            </w:r>
            <w:r w:rsidRPr="00976354">
              <w:rPr>
                <w:rFonts w:eastAsia="Times New Roman"/>
                <w:sz w:val="20"/>
                <w:szCs w:val="20"/>
              </w:rPr>
              <w:t>including outreach strategies</w:t>
            </w:r>
            <w:r w:rsidR="00B96053" w:rsidRPr="00976354">
              <w:rPr>
                <w:rFonts w:eastAsia="Times New Roman"/>
                <w:sz w:val="20"/>
                <w:szCs w:val="20"/>
              </w:rPr>
              <w:t xml:space="preserve"> designed to inform and attract students in non-traditional pathways. Report to</w:t>
            </w:r>
            <w:r w:rsidR="00976354" w:rsidRPr="00976354">
              <w:rPr>
                <w:rFonts w:eastAsia="Times New Roman"/>
                <w:sz w:val="20"/>
                <w:szCs w:val="20"/>
              </w:rPr>
              <w:t xml:space="preserve"> Gov. 2024</w:t>
            </w:r>
          </w:p>
          <w:p w14:paraId="0CBACECA" w14:textId="50427F57" w:rsidR="00B96053" w:rsidRPr="00976354" w:rsidRDefault="005B455F" w:rsidP="00FE66E8">
            <w:pPr>
              <w:pStyle w:val="ListParagraph"/>
              <w:numPr>
                <w:ilvl w:val="0"/>
                <w:numId w:val="42"/>
              </w:numPr>
              <w:spacing w:line="240" w:lineRule="auto"/>
              <w:rPr>
                <w:rFonts w:eastAsia="Times New Roman"/>
                <w:sz w:val="20"/>
                <w:szCs w:val="20"/>
              </w:rPr>
            </w:pPr>
            <w:r>
              <w:rPr>
                <w:rFonts w:eastAsia="Times New Roman"/>
                <w:sz w:val="20"/>
                <w:szCs w:val="20"/>
              </w:rPr>
              <w:t xml:space="preserve">Center </w:t>
            </w:r>
            <w:r w:rsidR="00B96053" w:rsidRPr="00976354">
              <w:rPr>
                <w:rFonts w:eastAsia="Times New Roman"/>
                <w:sz w:val="20"/>
                <w:szCs w:val="20"/>
              </w:rPr>
              <w:t>continue</w:t>
            </w:r>
            <w:r>
              <w:rPr>
                <w:rFonts w:eastAsia="Times New Roman"/>
                <w:sz w:val="20"/>
                <w:szCs w:val="20"/>
              </w:rPr>
              <w:t xml:space="preserve">s to </w:t>
            </w:r>
            <w:r w:rsidR="00B96053" w:rsidRPr="00976354">
              <w:rPr>
                <w:rFonts w:eastAsia="Times New Roman"/>
                <w:sz w:val="20"/>
                <w:szCs w:val="20"/>
              </w:rPr>
              <w:t>support the CJ Programs holding quarterly meetings to implement a core curriculum, standard course numbering, OER textbooks, and embed DEI</w:t>
            </w:r>
            <w:r w:rsidR="00F2662F">
              <w:rPr>
                <w:rFonts w:eastAsia="Times New Roman"/>
                <w:sz w:val="20"/>
                <w:szCs w:val="20"/>
              </w:rPr>
              <w:t>A</w:t>
            </w:r>
            <w:r w:rsidR="00B96053" w:rsidRPr="00976354">
              <w:rPr>
                <w:rFonts w:eastAsia="Times New Roman"/>
                <w:sz w:val="20"/>
                <w:szCs w:val="20"/>
              </w:rPr>
              <w:t xml:space="preserve"> work in the curriculum and organize and support quarterly meetings of the CJ Work Group and support implementation of thei</w:t>
            </w:r>
            <w:r>
              <w:rPr>
                <w:rFonts w:eastAsia="Times New Roman"/>
                <w:sz w:val="20"/>
                <w:szCs w:val="20"/>
              </w:rPr>
              <w:t xml:space="preserve">r work plans.  Report quarterly. </w:t>
            </w:r>
          </w:p>
          <w:p w14:paraId="759BD0E1" w14:textId="77777777" w:rsidR="00C41907" w:rsidRDefault="00B96053" w:rsidP="00FE66E8">
            <w:pPr>
              <w:pStyle w:val="ListParagraph"/>
              <w:numPr>
                <w:ilvl w:val="0"/>
                <w:numId w:val="42"/>
              </w:numPr>
              <w:spacing w:line="240" w:lineRule="auto"/>
              <w:rPr>
                <w:rFonts w:eastAsia="Times New Roman"/>
                <w:sz w:val="20"/>
                <w:szCs w:val="20"/>
              </w:rPr>
            </w:pPr>
            <w:r w:rsidRPr="00976354">
              <w:rPr>
                <w:rFonts w:eastAsia="Times New Roman"/>
                <w:sz w:val="20"/>
                <w:szCs w:val="20"/>
              </w:rPr>
              <w:t xml:space="preserve">Center working w/state’s Fire </w:t>
            </w:r>
            <w:r w:rsidR="005B455F">
              <w:rPr>
                <w:rFonts w:eastAsia="Times New Roman"/>
                <w:sz w:val="20"/>
                <w:szCs w:val="20"/>
              </w:rPr>
              <w:t xml:space="preserve">Marshall </w:t>
            </w:r>
            <w:r w:rsidR="00E73D80" w:rsidRPr="00976354">
              <w:rPr>
                <w:rFonts w:eastAsia="Times New Roman"/>
                <w:sz w:val="20"/>
                <w:szCs w:val="20"/>
              </w:rPr>
              <w:t>and Wildland Fire and E</w:t>
            </w:r>
            <w:r w:rsidR="00976354" w:rsidRPr="00976354">
              <w:rPr>
                <w:rFonts w:eastAsia="Times New Roman"/>
                <w:sz w:val="20"/>
                <w:szCs w:val="20"/>
              </w:rPr>
              <w:t xml:space="preserve">mergency </w:t>
            </w:r>
            <w:r w:rsidR="00E73D80" w:rsidRPr="00976354">
              <w:rPr>
                <w:rFonts w:eastAsia="Times New Roman"/>
                <w:sz w:val="20"/>
                <w:szCs w:val="20"/>
              </w:rPr>
              <w:t xml:space="preserve">Medical Services Programs, and associated groups </w:t>
            </w:r>
            <w:r w:rsidR="00976354" w:rsidRPr="00976354">
              <w:rPr>
                <w:rFonts w:eastAsia="Times New Roman"/>
                <w:sz w:val="20"/>
                <w:szCs w:val="20"/>
              </w:rPr>
              <w:t xml:space="preserve">established a joint </w:t>
            </w:r>
            <w:r w:rsidR="00E73D80" w:rsidRPr="00976354">
              <w:rPr>
                <w:rFonts w:eastAsia="Times New Roman"/>
                <w:sz w:val="20"/>
                <w:szCs w:val="20"/>
              </w:rPr>
              <w:t xml:space="preserve">working group and </w:t>
            </w:r>
            <w:r w:rsidR="00976354" w:rsidRPr="00976354">
              <w:rPr>
                <w:rFonts w:eastAsia="Times New Roman"/>
                <w:sz w:val="20"/>
                <w:szCs w:val="20"/>
              </w:rPr>
              <w:t>continues</w:t>
            </w:r>
            <w:r w:rsidR="00E73D80" w:rsidRPr="00976354">
              <w:rPr>
                <w:rFonts w:eastAsia="Times New Roman"/>
                <w:sz w:val="20"/>
                <w:szCs w:val="20"/>
              </w:rPr>
              <w:t xml:space="preserve"> discussions/efforts to build program capacity and increase the pipeline of emergency medical and firefighters in the workforce.  </w:t>
            </w:r>
            <w:r w:rsidR="005B455F">
              <w:rPr>
                <w:rFonts w:eastAsia="Times New Roman"/>
                <w:sz w:val="20"/>
                <w:szCs w:val="20"/>
              </w:rPr>
              <w:t>The Working Group of 59 Member</w:t>
            </w:r>
            <w:r w:rsidR="00E73D80" w:rsidRPr="00976354">
              <w:rPr>
                <w:rFonts w:eastAsia="Times New Roman"/>
                <w:sz w:val="20"/>
                <w:szCs w:val="20"/>
              </w:rPr>
              <w:t xml:space="preserve"> and its co-chairs</w:t>
            </w:r>
            <w:r w:rsidR="005B455F">
              <w:rPr>
                <w:rFonts w:eastAsia="Times New Roman"/>
                <w:sz w:val="20"/>
                <w:szCs w:val="20"/>
              </w:rPr>
              <w:t xml:space="preserve"> </w:t>
            </w:r>
            <w:r w:rsidR="00E73D80" w:rsidRPr="00976354">
              <w:rPr>
                <w:rFonts w:eastAsia="Times New Roman"/>
                <w:sz w:val="20"/>
                <w:szCs w:val="20"/>
              </w:rPr>
              <w:t>connect</w:t>
            </w:r>
            <w:r w:rsidR="005B455F">
              <w:rPr>
                <w:rFonts w:eastAsia="Times New Roman"/>
                <w:sz w:val="20"/>
                <w:szCs w:val="20"/>
              </w:rPr>
              <w:t xml:space="preserve"> w/</w:t>
            </w:r>
            <w:r w:rsidR="00E73D80" w:rsidRPr="00976354">
              <w:rPr>
                <w:rFonts w:eastAsia="Times New Roman"/>
                <w:sz w:val="20"/>
                <w:szCs w:val="20"/>
              </w:rPr>
              <w:t>all of the SBCTC programs, design and compl</w:t>
            </w:r>
            <w:r w:rsidR="005B455F">
              <w:rPr>
                <w:rFonts w:eastAsia="Times New Roman"/>
                <w:sz w:val="20"/>
                <w:szCs w:val="20"/>
              </w:rPr>
              <w:t>ete survey, identify needs and g</w:t>
            </w:r>
            <w:r w:rsidR="00E73D80" w:rsidRPr="00976354">
              <w:rPr>
                <w:rFonts w:eastAsia="Times New Roman"/>
                <w:sz w:val="20"/>
                <w:szCs w:val="20"/>
              </w:rPr>
              <w:t>aps in curriculum, equipment, training, critical KSAs/learning outcomes, and faculty/staff capacity.  Bi Monthly meetings.</w:t>
            </w:r>
          </w:p>
          <w:p w14:paraId="75A93C19" w14:textId="58E391FA" w:rsidR="00976354" w:rsidRPr="00976354" w:rsidRDefault="00976354" w:rsidP="00FE66E8">
            <w:pPr>
              <w:pStyle w:val="ListParagraph"/>
              <w:numPr>
                <w:ilvl w:val="0"/>
                <w:numId w:val="42"/>
              </w:numPr>
              <w:spacing w:line="240" w:lineRule="auto"/>
              <w:rPr>
                <w:rFonts w:eastAsia="Times New Roman"/>
                <w:sz w:val="20"/>
                <w:szCs w:val="20"/>
              </w:rPr>
            </w:pPr>
            <w:r w:rsidRPr="00976354">
              <w:rPr>
                <w:rFonts w:eastAsia="Times New Roman"/>
                <w:sz w:val="20"/>
                <w:szCs w:val="20"/>
              </w:rPr>
              <w:lastRenderedPageBreak/>
              <w:t>Work with Fire and E</w:t>
            </w:r>
            <w:r w:rsidR="0068121C">
              <w:rPr>
                <w:rFonts w:eastAsia="Times New Roman"/>
                <w:sz w:val="20"/>
                <w:szCs w:val="20"/>
              </w:rPr>
              <w:t>mergency</w:t>
            </w:r>
            <w:r w:rsidRPr="00976354">
              <w:rPr>
                <w:rFonts w:eastAsia="Times New Roman"/>
                <w:sz w:val="20"/>
                <w:szCs w:val="20"/>
              </w:rPr>
              <w:t xml:space="preserve"> Medical and occupation Safety and Health programs to assess effectiveness of expansion of internships, apprenticeship programs for Fire and OSH and other collaboration with Construction Management, Allied Health, Ag and Natural Resources</w:t>
            </w:r>
            <w:r w:rsidR="000A0FD0">
              <w:rPr>
                <w:rFonts w:eastAsia="Times New Roman"/>
                <w:sz w:val="20"/>
                <w:szCs w:val="20"/>
              </w:rPr>
              <w:t>,</w:t>
            </w:r>
            <w:r w:rsidRPr="00976354">
              <w:rPr>
                <w:rFonts w:eastAsia="Times New Roman"/>
                <w:sz w:val="20"/>
                <w:szCs w:val="20"/>
              </w:rPr>
              <w:t xml:space="preserve"> Education, Manufacturing and Cl</w:t>
            </w:r>
            <w:r w:rsidR="000A0FD0">
              <w:rPr>
                <w:rFonts w:eastAsia="Times New Roman"/>
                <w:sz w:val="20"/>
                <w:szCs w:val="20"/>
              </w:rPr>
              <w:t>e</w:t>
            </w:r>
            <w:r w:rsidRPr="00976354">
              <w:rPr>
                <w:rFonts w:eastAsia="Times New Roman"/>
                <w:sz w:val="20"/>
                <w:szCs w:val="20"/>
              </w:rPr>
              <w:t>an Energy and other COE.  Opportunities for retraining sites funded by L and I.</w:t>
            </w:r>
            <w:r w:rsidR="0068121C">
              <w:rPr>
                <w:rFonts w:eastAsia="Times New Roman"/>
                <w:sz w:val="20"/>
                <w:szCs w:val="20"/>
              </w:rPr>
              <w:t xml:space="preserve">  Complete 2</w:t>
            </w:r>
            <w:r w:rsidR="0068121C" w:rsidRPr="0068121C">
              <w:rPr>
                <w:rFonts w:eastAsia="Times New Roman"/>
                <w:sz w:val="20"/>
                <w:szCs w:val="20"/>
                <w:vertAlign w:val="superscript"/>
              </w:rPr>
              <w:t>nd</w:t>
            </w:r>
            <w:r w:rsidR="0068121C">
              <w:rPr>
                <w:rFonts w:eastAsia="Times New Roman"/>
                <w:sz w:val="20"/>
                <w:szCs w:val="20"/>
              </w:rPr>
              <w:t xml:space="preserve"> quarter and ongoing initiatives.</w:t>
            </w:r>
          </w:p>
          <w:p w14:paraId="78738EBA" w14:textId="77777777" w:rsidR="00825E58" w:rsidRPr="00976354" w:rsidRDefault="00825E58" w:rsidP="00FE66E8">
            <w:pPr>
              <w:pStyle w:val="ListParagraph"/>
              <w:numPr>
                <w:ilvl w:val="0"/>
                <w:numId w:val="42"/>
              </w:numPr>
              <w:spacing w:line="240" w:lineRule="auto"/>
              <w:rPr>
                <w:rFonts w:eastAsia="Times New Roman"/>
                <w:sz w:val="20"/>
                <w:szCs w:val="20"/>
              </w:rPr>
            </w:pPr>
            <w:r w:rsidRPr="00976354">
              <w:rPr>
                <w:rFonts w:eastAsia="Times New Roman"/>
                <w:sz w:val="20"/>
                <w:szCs w:val="20"/>
              </w:rPr>
              <w:t xml:space="preserve">Working with current 6 Advisory </w:t>
            </w:r>
            <w:proofErr w:type="spellStart"/>
            <w:r w:rsidRPr="00976354">
              <w:rPr>
                <w:rFonts w:eastAsia="Times New Roman"/>
                <w:sz w:val="20"/>
                <w:szCs w:val="20"/>
              </w:rPr>
              <w:t>Brd</w:t>
            </w:r>
            <w:proofErr w:type="spellEnd"/>
            <w:r w:rsidRPr="00976354">
              <w:rPr>
                <w:rFonts w:eastAsia="Times New Roman"/>
                <w:sz w:val="20"/>
                <w:szCs w:val="20"/>
              </w:rPr>
              <w:t>. Members who represent EM/Security at state agencies, organize a meeting to discuss development of an All-Hazard EM State Agency Working Group.  Complete 1</w:t>
            </w:r>
            <w:r w:rsidRPr="00976354">
              <w:rPr>
                <w:rFonts w:eastAsia="Times New Roman"/>
                <w:sz w:val="20"/>
                <w:szCs w:val="20"/>
                <w:vertAlign w:val="superscript"/>
              </w:rPr>
              <w:t>st</w:t>
            </w:r>
            <w:r w:rsidRPr="00976354">
              <w:rPr>
                <w:rFonts w:eastAsia="Times New Roman"/>
                <w:sz w:val="20"/>
                <w:szCs w:val="20"/>
              </w:rPr>
              <w:t xml:space="preserve"> quarter.</w:t>
            </w:r>
          </w:p>
          <w:p w14:paraId="04377B52" w14:textId="287FF5C9" w:rsidR="00C41907" w:rsidRPr="00F2662F" w:rsidRDefault="00C41907" w:rsidP="00FE66E8">
            <w:pPr>
              <w:pStyle w:val="ListParagraph"/>
              <w:numPr>
                <w:ilvl w:val="0"/>
                <w:numId w:val="42"/>
              </w:numPr>
              <w:spacing w:line="240" w:lineRule="auto"/>
              <w:rPr>
                <w:sz w:val="20"/>
                <w:szCs w:val="20"/>
              </w:rPr>
            </w:pPr>
            <w:r w:rsidRPr="00F2662F">
              <w:rPr>
                <w:sz w:val="20"/>
                <w:szCs w:val="20"/>
              </w:rPr>
              <w:t>Work with WSP Fire Training Academy Deputy Fire Marshal office to develop a stronger pipeline of firefighters from the HS Skill Centers Fire programs’ students into CTC and ap</w:t>
            </w:r>
            <w:r w:rsidR="00D5442F" w:rsidRPr="00F2662F">
              <w:rPr>
                <w:sz w:val="20"/>
                <w:szCs w:val="20"/>
              </w:rPr>
              <w:t>prenticeship programs. COE providing WSP w/</w:t>
            </w:r>
            <w:r w:rsidRPr="00F2662F">
              <w:rPr>
                <w:sz w:val="20"/>
                <w:szCs w:val="20"/>
              </w:rPr>
              <w:t>research from 2022 on program availability, content from each school’s web sites, and credit articulations.</w:t>
            </w:r>
            <w:r w:rsidR="00F2662F">
              <w:rPr>
                <w:sz w:val="20"/>
                <w:szCs w:val="20"/>
              </w:rPr>
              <w:t xml:space="preserve"> </w:t>
            </w:r>
            <w:r w:rsidRPr="00F2662F">
              <w:rPr>
                <w:sz w:val="20"/>
                <w:szCs w:val="20"/>
              </w:rPr>
              <w:t>WSP is planning evaluation of the Skill Centers programs content for possible accreditation modification and setting up IFSAC testing for all students to facilitate hiring. </w:t>
            </w:r>
            <w:r w:rsidR="00D5442F" w:rsidRPr="00F2662F">
              <w:rPr>
                <w:sz w:val="20"/>
                <w:szCs w:val="20"/>
              </w:rPr>
              <w:t>Complete 2</w:t>
            </w:r>
            <w:r w:rsidR="00D5442F" w:rsidRPr="00F2662F">
              <w:rPr>
                <w:sz w:val="20"/>
                <w:szCs w:val="20"/>
                <w:vertAlign w:val="superscript"/>
              </w:rPr>
              <w:t>nd</w:t>
            </w:r>
            <w:r w:rsidR="00D5442F" w:rsidRPr="00F2662F">
              <w:rPr>
                <w:sz w:val="20"/>
                <w:szCs w:val="20"/>
              </w:rPr>
              <w:t xml:space="preserve"> quarter and ongoing.</w:t>
            </w:r>
          </w:p>
          <w:p w14:paraId="5F82B51B" w14:textId="77777777" w:rsidR="00B53D80" w:rsidRPr="00F2662F" w:rsidRDefault="00C41907" w:rsidP="00FE66E8">
            <w:pPr>
              <w:pStyle w:val="ListParagraph"/>
              <w:numPr>
                <w:ilvl w:val="0"/>
                <w:numId w:val="42"/>
              </w:numPr>
              <w:spacing w:line="240" w:lineRule="auto"/>
              <w:rPr>
                <w:sz w:val="20"/>
                <w:szCs w:val="20"/>
              </w:rPr>
            </w:pPr>
            <w:r w:rsidRPr="00F2662F">
              <w:rPr>
                <w:sz w:val="20"/>
                <w:szCs w:val="20"/>
              </w:rPr>
              <w:t xml:space="preserve">Mollie </w:t>
            </w:r>
            <w:proofErr w:type="spellStart"/>
            <w:r w:rsidRPr="00F2662F">
              <w:rPr>
                <w:sz w:val="20"/>
                <w:szCs w:val="20"/>
              </w:rPr>
              <w:t>Sundvik</w:t>
            </w:r>
            <w:proofErr w:type="spellEnd"/>
            <w:r w:rsidRPr="00F2662F">
              <w:rPr>
                <w:sz w:val="20"/>
                <w:szCs w:val="20"/>
              </w:rPr>
              <w:t xml:space="preserve"> has accepted the invitation from the Center to become a COE Advisory Board Members to represent the WA State</w:t>
            </w:r>
            <w:r w:rsidR="009C2780" w:rsidRPr="00F2662F">
              <w:rPr>
                <w:sz w:val="20"/>
                <w:szCs w:val="20"/>
              </w:rPr>
              <w:t xml:space="preserve"> Patrol Fire Training Academy and address DEIA issues.   Board will discuss restoring the Center’s “Women in Leadership” annual conference.   Center will become a supporter of the Women in Fire Fighting organization.  </w:t>
            </w:r>
          </w:p>
          <w:p w14:paraId="1D31B073" w14:textId="77777777" w:rsidR="00B31A9B" w:rsidRPr="00F2662F" w:rsidRDefault="00B53D80" w:rsidP="00F2662F">
            <w:pPr>
              <w:pStyle w:val="ListParagraph"/>
              <w:numPr>
                <w:ilvl w:val="0"/>
                <w:numId w:val="42"/>
              </w:numPr>
              <w:spacing w:line="240" w:lineRule="auto"/>
              <w:rPr>
                <w:rFonts w:eastAsia="Times New Roman"/>
                <w:sz w:val="20"/>
                <w:szCs w:val="20"/>
              </w:rPr>
            </w:pPr>
            <w:r w:rsidRPr="00F2662F">
              <w:rPr>
                <w:sz w:val="20"/>
                <w:szCs w:val="20"/>
              </w:rPr>
              <w:t xml:space="preserve">Work with </w:t>
            </w:r>
            <w:r w:rsidR="003F2FAF" w:rsidRPr="00F2662F">
              <w:rPr>
                <w:sz w:val="20"/>
                <w:szCs w:val="20"/>
              </w:rPr>
              <w:t>SBCTC Security</w:t>
            </w:r>
            <w:r w:rsidRPr="00F2662F">
              <w:rPr>
                <w:sz w:val="20"/>
                <w:szCs w:val="20"/>
              </w:rPr>
              <w:t>, Safety, and Emergency Management Counci</w:t>
            </w:r>
            <w:r w:rsidR="00D5442F" w:rsidRPr="00F2662F">
              <w:rPr>
                <w:sz w:val="20"/>
                <w:szCs w:val="20"/>
              </w:rPr>
              <w:t>l which was established in 2011.  C</w:t>
            </w:r>
            <w:r w:rsidR="003F2FAF" w:rsidRPr="00F2662F">
              <w:rPr>
                <w:sz w:val="20"/>
                <w:szCs w:val="20"/>
              </w:rPr>
              <w:t xml:space="preserve">enter supported and was an original member on the SSEM Council which facilitates communication and collaboration amongst WA State CTC safety, security, and emergency management personal.  The Center </w:t>
            </w:r>
            <w:r w:rsidR="00D5442F" w:rsidRPr="00F2662F">
              <w:rPr>
                <w:sz w:val="20"/>
                <w:szCs w:val="20"/>
              </w:rPr>
              <w:t>will continue</w:t>
            </w:r>
            <w:r w:rsidR="003F2FAF" w:rsidRPr="00F2662F">
              <w:rPr>
                <w:sz w:val="20"/>
                <w:szCs w:val="20"/>
              </w:rPr>
              <w:t xml:space="preserve"> to serve as a training resource to colleges</w:t>
            </w:r>
            <w:r w:rsidR="00D5442F" w:rsidRPr="00F2662F">
              <w:rPr>
                <w:sz w:val="20"/>
                <w:szCs w:val="20"/>
              </w:rPr>
              <w:t>.</w:t>
            </w:r>
            <w:r w:rsidR="004F59C6" w:rsidRPr="00F2662F">
              <w:rPr>
                <w:sz w:val="20"/>
                <w:szCs w:val="20"/>
              </w:rPr>
              <w:t xml:space="preserve"> </w:t>
            </w:r>
            <w:r w:rsidR="00D5442F" w:rsidRPr="00F2662F">
              <w:rPr>
                <w:sz w:val="20"/>
                <w:szCs w:val="20"/>
              </w:rPr>
              <w:t>Colleges must</w:t>
            </w:r>
            <w:r w:rsidR="003F2FAF" w:rsidRPr="00F2662F">
              <w:rPr>
                <w:sz w:val="20"/>
                <w:szCs w:val="20"/>
              </w:rPr>
              <w:t xml:space="preserve"> be well-prepared to plan for, respond to and mitigate impact of critical incidents on our colleg</w:t>
            </w:r>
            <w:r w:rsidR="00D5442F" w:rsidRPr="00F2662F">
              <w:rPr>
                <w:sz w:val="20"/>
                <w:szCs w:val="20"/>
              </w:rPr>
              <w:t>e is more important than ever.  Monthly meetings and annual training events.</w:t>
            </w:r>
            <w:r w:rsidR="00D5442F">
              <w:t xml:space="preserve">  </w:t>
            </w:r>
          </w:p>
          <w:p w14:paraId="50F93712" w14:textId="77777777" w:rsidR="00F2662F" w:rsidRDefault="00F2662F" w:rsidP="00F2662F">
            <w:pPr>
              <w:pStyle w:val="ListParagraph"/>
              <w:spacing w:line="240" w:lineRule="auto"/>
              <w:ind w:left="360"/>
              <w:rPr>
                <w:rFonts w:eastAsia="Times New Roman"/>
              </w:rPr>
            </w:pPr>
          </w:p>
          <w:p w14:paraId="5899C85E" w14:textId="77777777" w:rsidR="00F2662F" w:rsidRDefault="00F2662F" w:rsidP="00F2662F">
            <w:pPr>
              <w:pStyle w:val="ListParagraph"/>
              <w:spacing w:line="240" w:lineRule="auto"/>
              <w:ind w:left="360"/>
              <w:rPr>
                <w:rFonts w:eastAsia="Times New Roman"/>
              </w:rPr>
            </w:pPr>
          </w:p>
          <w:p w14:paraId="7BCCD15C" w14:textId="03C285F5" w:rsidR="00F2662F" w:rsidRPr="00F2662F" w:rsidRDefault="00F2662F" w:rsidP="00F2662F">
            <w:pPr>
              <w:pStyle w:val="ListParagraph"/>
              <w:spacing w:line="240" w:lineRule="auto"/>
              <w:ind w:left="360"/>
              <w:rPr>
                <w:rFonts w:eastAsia="Times New Roman"/>
                <w:sz w:val="20"/>
                <w:szCs w:val="20"/>
              </w:rPr>
            </w:pPr>
          </w:p>
        </w:tc>
      </w:tr>
      <w:tr w:rsidR="00B31A9B" w:rsidRPr="00B31A9B" w14:paraId="7937F6BB" w14:textId="77777777" w:rsidTr="00B31A9B">
        <w:trPr>
          <w:trHeight w:val="351"/>
        </w:trPr>
        <w:tc>
          <w:tcPr>
            <w:tcW w:w="14670" w:type="dxa"/>
            <w:gridSpan w:val="3"/>
            <w:tcBorders>
              <w:top w:val="nil"/>
              <w:left w:val="single" w:sz="18" w:space="0" w:color="auto"/>
              <w:bottom w:val="single" w:sz="8" w:space="0" w:color="auto"/>
              <w:right w:val="single" w:sz="18" w:space="0" w:color="auto"/>
            </w:tcBorders>
            <w:shd w:val="clear" w:color="auto" w:fill="D9D9D9"/>
            <w:tcMar>
              <w:top w:w="115" w:type="dxa"/>
              <w:left w:w="115" w:type="dxa"/>
              <w:bottom w:w="115" w:type="dxa"/>
              <w:right w:w="115" w:type="dxa"/>
            </w:tcMar>
            <w:vAlign w:val="center"/>
            <w:hideMark/>
          </w:tcPr>
          <w:p w14:paraId="45F593E8" w14:textId="77777777" w:rsidR="00B31A9B" w:rsidRPr="00B31A9B" w:rsidRDefault="00B31A9B" w:rsidP="00B31A9B">
            <w:pPr>
              <w:spacing w:line="312" w:lineRule="auto"/>
              <w:jc w:val="center"/>
              <w:rPr>
                <w:b/>
                <w:bCs/>
                <w:sz w:val="20"/>
                <w:szCs w:val="20"/>
              </w:rPr>
            </w:pPr>
            <w:r w:rsidRPr="00B31A9B">
              <w:rPr>
                <w:b/>
                <w:bCs/>
                <w:color w:val="000000"/>
                <w:sz w:val="20"/>
                <w:szCs w:val="20"/>
              </w:rPr>
              <w:lastRenderedPageBreak/>
              <w:t>Report and Analysis on Actual Outcomes and Products</w:t>
            </w:r>
          </w:p>
        </w:tc>
      </w:tr>
      <w:tr w:rsidR="00B31A9B" w:rsidRPr="00B31A9B" w14:paraId="2B9C2618"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730160C3" w14:textId="77777777" w:rsidR="00B31A9B" w:rsidRPr="00B31A9B" w:rsidRDefault="00B31A9B" w:rsidP="00B31A9B">
            <w:pPr>
              <w:rPr>
                <w:b/>
                <w:bCs/>
                <w:sz w:val="20"/>
                <w:szCs w:val="20"/>
              </w:rPr>
            </w:pPr>
            <w:bookmarkStart w:id="3" w:name="_Hlk152761261"/>
            <w:r w:rsidRPr="00B31A9B">
              <w:rPr>
                <w:b/>
                <w:bCs/>
                <w:color w:val="000000"/>
                <w:sz w:val="20"/>
                <w:szCs w:val="20"/>
              </w:rPr>
              <w:t>Quarter 1</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72A14E93" w14:textId="77777777" w:rsidR="0036165B" w:rsidRDefault="00614E28" w:rsidP="00614E28">
            <w:pPr>
              <w:pStyle w:val="ListParagraph"/>
              <w:numPr>
                <w:ilvl w:val="1"/>
                <w:numId w:val="42"/>
              </w:numPr>
              <w:spacing w:line="312" w:lineRule="auto"/>
              <w:rPr>
                <w:sz w:val="20"/>
                <w:szCs w:val="20"/>
              </w:rPr>
            </w:pPr>
            <w:r w:rsidRPr="00614E28">
              <w:rPr>
                <w:sz w:val="20"/>
                <w:szCs w:val="20"/>
              </w:rPr>
              <w:t>The Center continues to support the efforts regarding ESSB 5187</w:t>
            </w:r>
          </w:p>
          <w:p w14:paraId="4F4F4074" w14:textId="3ED73583" w:rsidR="00614E28" w:rsidRDefault="00614E28" w:rsidP="00614E28">
            <w:pPr>
              <w:pStyle w:val="ListParagraph"/>
              <w:numPr>
                <w:ilvl w:val="1"/>
                <w:numId w:val="42"/>
              </w:numPr>
              <w:spacing w:line="312" w:lineRule="auto"/>
              <w:rPr>
                <w:sz w:val="20"/>
                <w:szCs w:val="20"/>
              </w:rPr>
            </w:pPr>
            <w:r>
              <w:rPr>
                <w:sz w:val="20"/>
                <w:szCs w:val="20"/>
              </w:rPr>
              <w:t xml:space="preserve">CJ Programs workgroup are being re-established in order to identify current programs and faculty/staffing changes. The meeting for the workgroup has not been established as of yet, but will take place virtually to receive updates on current pathway programs at each college. </w:t>
            </w:r>
          </w:p>
          <w:p w14:paraId="4591F939" w14:textId="3DE08BA0" w:rsidR="00614E28" w:rsidRDefault="00614E28" w:rsidP="00614E28">
            <w:pPr>
              <w:pStyle w:val="ListParagraph"/>
              <w:numPr>
                <w:ilvl w:val="1"/>
                <w:numId w:val="42"/>
              </w:numPr>
              <w:spacing w:line="312" w:lineRule="auto"/>
              <w:rPr>
                <w:sz w:val="20"/>
                <w:szCs w:val="20"/>
              </w:rPr>
            </w:pPr>
            <w:r>
              <w:rPr>
                <w:sz w:val="20"/>
                <w:szCs w:val="20"/>
              </w:rPr>
              <w:t xml:space="preserve">The Center continues to work with Fire </w:t>
            </w:r>
            <w:r w:rsidR="000A0FD0">
              <w:rPr>
                <w:sz w:val="20"/>
                <w:szCs w:val="20"/>
              </w:rPr>
              <w:t xml:space="preserve">Marshall </w:t>
            </w:r>
            <w:r>
              <w:rPr>
                <w:sz w:val="20"/>
                <w:szCs w:val="20"/>
              </w:rPr>
              <w:t>and EMS workgroup to discuss efforts to build program capacity and increas</w:t>
            </w:r>
            <w:r w:rsidR="000A0FD0">
              <w:rPr>
                <w:sz w:val="20"/>
                <w:szCs w:val="20"/>
              </w:rPr>
              <w:t>e the pipeline within the workforce. A date for the next meeting is established to meet virtually/in-person at Pierce College Ft. Steilacoom for January 2024.</w:t>
            </w:r>
          </w:p>
          <w:p w14:paraId="54588943" w14:textId="77777777" w:rsidR="000A0FD0" w:rsidRDefault="000A0FD0" w:rsidP="00614E28">
            <w:pPr>
              <w:pStyle w:val="ListParagraph"/>
              <w:numPr>
                <w:ilvl w:val="1"/>
                <w:numId w:val="42"/>
              </w:numPr>
              <w:spacing w:line="312" w:lineRule="auto"/>
              <w:rPr>
                <w:sz w:val="20"/>
                <w:szCs w:val="20"/>
              </w:rPr>
            </w:pPr>
            <w:r>
              <w:rPr>
                <w:sz w:val="20"/>
                <w:szCs w:val="20"/>
              </w:rPr>
              <w:t>Work with Fire, EMS, and OSH programs has continued in collaboration with other COEs.</w:t>
            </w:r>
          </w:p>
          <w:p w14:paraId="6D375365" w14:textId="77777777" w:rsidR="000A0FD0" w:rsidRDefault="00FF751B" w:rsidP="00614E28">
            <w:pPr>
              <w:pStyle w:val="ListParagraph"/>
              <w:numPr>
                <w:ilvl w:val="1"/>
                <w:numId w:val="42"/>
              </w:numPr>
              <w:spacing w:line="312" w:lineRule="auto"/>
              <w:rPr>
                <w:sz w:val="20"/>
                <w:szCs w:val="20"/>
              </w:rPr>
            </w:pPr>
            <w:r>
              <w:rPr>
                <w:sz w:val="20"/>
                <w:szCs w:val="20"/>
              </w:rPr>
              <w:t>A meeting with EM/Security workgroup has to be re-established to discuss development of All-Hazard state agency workgroup.</w:t>
            </w:r>
          </w:p>
          <w:p w14:paraId="67D81D91" w14:textId="77777777" w:rsidR="00FF751B" w:rsidRDefault="00FF751B" w:rsidP="00FF751B">
            <w:pPr>
              <w:pStyle w:val="ListParagraph"/>
              <w:numPr>
                <w:ilvl w:val="1"/>
                <w:numId w:val="42"/>
              </w:numPr>
              <w:spacing w:line="312" w:lineRule="auto"/>
              <w:rPr>
                <w:sz w:val="20"/>
                <w:szCs w:val="20"/>
              </w:rPr>
            </w:pPr>
            <w:r>
              <w:rPr>
                <w:sz w:val="20"/>
                <w:szCs w:val="20"/>
              </w:rPr>
              <w:t xml:space="preserve">Working with WSP/Fire Marshall’s office to develop a stronger pipeline for firefighters is still ongoing. WSP/Fire Marshall’s office has been provided with CHMURA </w:t>
            </w:r>
            <w:proofErr w:type="spellStart"/>
            <w:r>
              <w:rPr>
                <w:sz w:val="20"/>
                <w:szCs w:val="20"/>
              </w:rPr>
              <w:t>JobsEQ</w:t>
            </w:r>
            <w:proofErr w:type="spellEnd"/>
            <w:r>
              <w:rPr>
                <w:sz w:val="20"/>
                <w:szCs w:val="20"/>
              </w:rPr>
              <w:t xml:space="preserve"> data trends. Discussion will continue at January 2024 meeting.</w:t>
            </w:r>
          </w:p>
          <w:p w14:paraId="49BAEA0A" w14:textId="77777777" w:rsidR="00632289" w:rsidRDefault="00FF751B" w:rsidP="00632289">
            <w:pPr>
              <w:pStyle w:val="ListParagraph"/>
              <w:numPr>
                <w:ilvl w:val="1"/>
                <w:numId w:val="42"/>
              </w:numPr>
              <w:spacing w:line="312" w:lineRule="auto"/>
              <w:rPr>
                <w:sz w:val="20"/>
                <w:szCs w:val="20"/>
              </w:rPr>
            </w:pPr>
            <w:r>
              <w:rPr>
                <w:sz w:val="20"/>
                <w:szCs w:val="20"/>
              </w:rPr>
              <w:t xml:space="preserve">The Center will have to re-establish connection with Mollie </w:t>
            </w:r>
            <w:proofErr w:type="spellStart"/>
            <w:r>
              <w:rPr>
                <w:sz w:val="20"/>
                <w:szCs w:val="20"/>
              </w:rPr>
              <w:t>Sundvik</w:t>
            </w:r>
            <w:proofErr w:type="spellEnd"/>
            <w:r>
              <w:rPr>
                <w:sz w:val="20"/>
                <w:szCs w:val="20"/>
              </w:rPr>
              <w:t xml:space="preserve"> to help address DEIA from Fire Training Academy perspective</w:t>
            </w:r>
            <w:r w:rsidR="00632289">
              <w:rPr>
                <w:sz w:val="20"/>
                <w:szCs w:val="20"/>
              </w:rPr>
              <w:t>.</w:t>
            </w:r>
          </w:p>
          <w:p w14:paraId="16EA0A5C" w14:textId="23E772D7" w:rsidR="00632289" w:rsidRPr="00632289" w:rsidRDefault="00632289" w:rsidP="00632289">
            <w:pPr>
              <w:pStyle w:val="ListParagraph"/>
              <w:numPr>
                <w:ilvl w:val="1"/>
                <w:numId w:val="42"/>
              </w:numPr>
              <w:spacing w:line="312" w:lineRule="auto"/>
              <w:rPr>
                <w:sz w:val="20"/>
                <w:szCs w:val="20"/>
              </w:rPr>
            </w:pPr>
            <w:r>
              <w:rPr>
                <w:sz w:val="20"/>
                <w:szCs w:val="20"/>
              </w:rPr>
              <w:t xml:space="preserve">The Center continues to be a member of </w:t>
            </w:r>
            <w:proofErr w:type="gramStart"/>
            <w:r>
              <w:rPr>
                <w:sz w:val="20"/>
                <w:szCs w:val="20"/>
              </w:rPr>
              <w:t>SSEM(</w:t>
            </w:r>
            <w:proofErr w:type="gramEnd"/>
            <w:r>
              <w:rPr>
                <w:sz w:val="20"/>
                <w:szCs w:val="20"/>
              </w:rPr>
              <w:t>Security, Safety, Emergency Management Council) and work with them and SBCTC to further facilitate communication and collaboration. Nancy Aird was appointed as the alternate for Linda in order to continue attending meetings as needed.</w:t>
            </w:r>
          </w:p>
        </w:tc>
      </w:tr>
      <w:bookmarkEnd w:id="3"/>
      <w:tr w:rsidR="00B31A9B" w:rsidRPr="00B31A9B" w14:paraId="248D998F"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206E22D0" w14:textId="77777777" w:rsidR="00B31A9B" w:rsidRPr="00B31A9B" w:rsidRDefault="00B31A9B" w:rsidP="00B31A9B">
            <w:pPr>
              <w:rPr>
                <w:b/>
                <w:bCs/>
                <w:sz w:val="20"/>
                <w:szCs w:val="20"/>
              </w:rPr>
            </w:pPr>
            <w:r w:rsidRPr="00B31A9B">
              <w:rPr>
                <w:b/>
                <w:bCs/>
                <w:color w:val="000000"/>
                <w:sz w:val="20"/>
                <w:szCs w:val="20"/>
              </w:rPr>
              <w:t>Quarter 2</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3C3A52F7" w14:textId="77777777" w:rsidR="00333A6E" w:rsidRPr="00B31A9B" w:rsidRDefault="00333A6E" w:rsidP="00333A6E">
            <w:pPr>
              <w:spacing w:line="312" w:lineRule="auto"/>
              <w:rPr>
                <w:sz w:val="20"/>
                <w:szCs w:val="20"/>
              </w:rPr>
            </w:pPr>
          </w:p>
        </w:tc>
      </w:tr>
      <w:tr w:rsidR="00B31A9B" w:rsidRPr="00B31A9B" w14:paraId="4472FB89"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6748D5E5" w14:textId="77777777" w:rsidR="00B31A9B" w:rsidRPr="00B31A9B" w:rsidRDefault="00B31A9B" w:rsidP="00B31A9B">
            <w:pPr>
              <w:rPr>
                <w:b/>
                <w:bCs/>
                <w:sz w:val="20"/>
                <w:szCs w:val="20"/>
              </w:rPr>
            </w:pPr>
            <w:r w:rsidRPr="00B31A9B">
              <w:rPr>
                <w:b/>
                <w:bCs/>
                <w:color w:val="000000"/>
                <w:sz w:val="20"/>
                <w:szCs w:val="20"/>
              </w:rPr>
              <w:t>Quarter 3</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70428EF3" w14:textId="77777777" w:rsidR="009A1D4A" w:rsidRPr="00B31A9B" w:rsidRDefault="009A1D4A" w:rsidP="008C074B">
            <w:pPr>
              <w:spacing w:line="312" w:lineRule="auto"/>
              <w:rPr>
                <w:sz w:val="20"/>
                <w:szCs w:val="20"/>
              </w:rPr>
            </w:pPr>
          </w:p>
        </w:tc>
      </w:tr>
      <w:tr w:rsidR="00B31A9B" w:rsidRPr="00B31A9B" w14:paraId="42C71283"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hideMark/>
          </w:tcPr>
          <w:p w14:paraId="0A2888F8" w14:textId="77777777" w:rsidR="00B31A9B" w:rsidRPr="00B31A9B" w:rsidRDefault="00B31A9B" w:rsidP="00B31A9B">
            <w:pPr>
              <w:rPr>
                <w:b/>
                <w:bCs/>
                <w:sz w:val="20"/>
                <w:szCs w:val="20"/>
              </w:rPr>
            </w:pPr>
            <w:r w:rsidRPr="00B31A9B">
              <w:rPr>
                <w:b/>
                <w:bCs/>
                <w:color w:val="000000"/>
                <w:sz w:val="20"/>
                <w:szCs w:val="20"/>
              </w:rPr>
              <w:t>Quarter 4</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501B4F89" w14:textId="77777777" w:rsidR="00B31A9B" w:rsidRPr="00B31A9B" w:rsidRDefault="00B31A9B" w:rsidP="005F6489">
            <w:pPr>
              <w:spacing w:line="312" w:lineRule="auto"/>
              <w:rPr>
                <w:sz w:val="20"/>
                <w:szCs w:val="20"/>
              </w:rPr>
            </w:pPr>
          </w:p>
        </w:tc>
      </w:tr>
      <w:tr w:rsidR="00D5442F" w:rsidRPr="00B31A9B" w14:paraId="1C65BCF9"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6A1DF9F6" w14:textId="77777777" w:rsidR="00D5442F" w:rsidRPr="00B31A9B" w:rsidRDefault="00D5442F" w:rsidP="00B31A9B">
            <w:pPr>
              <w:rPr>
                <w:b/>
                <w:bCs/>
                <w:color w:val="000000"/>
                <w:sz w:val="20"/>
                <w:szCs w:val="20"/>
              </w:rPr>
            </w:pPr>
            <w:r w:rsidRPr="00B31A9B">
              <w:rPr>
                <w:b/>
                <w:bCs/>
                <w:color w:val="000000"/>
                <w:sz w:val="20"/>
                <w:szCs w:val="20"/>
              </w:rPr>
              <w:t>Analysis Quarter #1</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1B0B526C" w14:textId="7D398796" w:rsidR="00D5442F" w:rsidRPr="00B31A9B" w:rsidRDefault="00632289" w:rsidP="005F6489">
            <w:pPr>
              <w:spacing w:line="312" w:lineRule="auto"/>
              <w:rPr>
                <w:sz w:val="20"/>
                <w:szCs w:val="20"/>
              </w:rPr>
            </w:pPr>
            <w:r>
              <w:rPr>
                <w:sz w:val="20"/>
                <w:szCs w:val="20"/>
              </w:rPr>
              <w:t>As stated</w:t>
            </w:r>
            <w:r>
              <w:rPr>
                <w:sz w:val="20"/>
                <w:szCs w:val="20"/>
              </w:rPr>
              <w:t xml:space="preserve"> previously</w:t>
            </w:r>
            <w:r>
              <w:rPr>
                <w:sz w:val="20"/>
                <w:szCs w:val="20"/>
              </w:rPr>
              <w:t>, due to the recovery process from Pierce College’s cyber security incident, much of these process times have been paused and/or extended while staff have been regaining email/computer access.</w:t>
            </w:r>
            <w:r>
              <w:rPr>
                <w:sz w:val="20"/>
                <w:szCs w:val="20"/>
              </w:rPr>
              <w:t xml:space="preserve"> Re-establishment of workgroup connections and organization collaborations is needed and will be an ongoing process. </w:t>
            </w:r>
          </w:p>
        </w:tc>
      </w:tr>
      <w:tr w:rsidR="00D5442F" w:rsidRPr="00B31A9B" w14:paraId="57EA185B"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15A5480D" w14:textId="1B0518E8" w:rsidR="00D5442F" w:rsidRPr="00B31A9B" w:rsidRDefault="00D5442F" w:rsidP="00B31A9B">
            <w:pPr>
              <w:rPr>
                <w:b/>
                <w:bCs/>
                <w:color w:val="000000"/>
                <w:sz w:val="20"/>
                <w:szCs w:val="20"/>
              </w:rPr>
            </w:pPr>
            <w:r>
              <w:rPr>
                <w:b/>
                <w:bCs/>
                <w:color w:val="000000"/>
                <w:sz w:val="20"/>
                <w:szCs w:val="20"/>
              </w:rPr>
              <w:t>Analysis Quarter #2</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00C9C729" w14:textId="77777777" w:rsidR="00D5442F" w:rsidRPr="00B31A9B" w:rsidRDefault="00D5442F" w:rsidP="005F6489">
            <w:pPr>
              <w:spacing w:line="312" w:lineRule="auto"/>
              <w:rPr>
                <w:sz w:val="20"/>
                <w:szCs w:val="20"/>
              </w:rPr>
            </w:pPr>
          </w:p>
        </w:tc>
      </w:tr>
      <w:tr w:rsidR="00D5442F" w:rsidRPr="00B31A9B" w14:paraId="3194E2DD"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4AB53832" w14:textId="77777777" w:rsidR="00D5442F" w:rsidRDefault="00D5442F" w:rsidP="00D5442F">
            <w:pPr>
              <w:rPr>
                <w:b/>
                <w:bCs/>
                <w:color w:val="000000"/>
                <w:sz w:val="20"/>
                <w:szCs w:val="20"/>
              </w:rPr>
            </w:pPr>
            <w:r>
              <w:rPr>
                <w:b/>
                <w:bCs/>
                <w:color w:val="000000"/>
                <w:sz w:val="20"/>
                <w:szCs w:val="20"/>
              </w:rPr>
              <w:t>Analysis Quarter #3</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2539B301" w14:textId="77777777" w:rsidR="00D5442F" w:rsidRPr="00B31A9B" w:rsidRDefault="00D5442F" w:rsidP="005F6489">
            <w:pPr>
              <w:spacing w:line="312" w:lineRule="auto"/>
              <w:rPr>
                <w:sz w:val="20"/>
                <w:szCs w:val="20"/>
              </w:rPr>
            </w:pPr>
          </w:p>
        </w:tc>
      </w:tr>
      <w:tr w:rsidR="00D5442F" w:rsidRPr="00B31A9B" w14:paraId="5BFF0D46" w14:textId="77777777" w:rsidTr="00B31A9B">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37D00649" w14:textId="77777777" w:rsidR="00D5442F" w:rsidRDefault="00D5442F" w:rsidP="00D5442F">
            <w:pPr>
              <w:rPr>
                <w:b/>
                <w:bCs/>
                <w:color w:val="000000"/>
                <w:sz w:val="20"/>
                <w:szCs w:val="20"/>
              </w:rPr>
            </w:pPr>
            <w:r>
              <w:rPr>
                <w:b/>
                <w:bCs/>
                <w:color w:val="000000"/>
                <w:sz w:val="20"/>
                <w:szCs w:val="20"/>
              </w:rPr>
              <w:lastRenderedPageBreak/>
              <w:t>Analysis Quarter #3</w:t>
            </w:r>
          </w:p>
        </w:tc>
        <w:tc>
          <w:tcPr>
            <w:tcW w:w="12222" w:type="dxa"/>
            <w:gridSpan w:val="2"/>
            <w:tcBorders>
              <w:top w:val="nil"/>
              <w:left w:val="nil"/>
              <w:bottom w:val="single" w:sz="8" w:space="0" w:color="auto"/>
              <w:right w:val="single" w:sz="18" w:space="0" w:color="auto"/>
            </w:tcBorders>
            <w:tcMar>
              <w:top w:w="115" w:type="dxa"/>
              <w:left w:w="115" w:type="dxa"/>
              <w:bottom w:w="115" w:type="dxa"/>
              <w:right w:w="115" w:type="dxa"/>
            </w:tcMar>
            <w:vAlign w:val="center"/>
          </w:tcPr>
          <w:p w14:paraId="428DFBBB" w14:textId="77777777" w:rsidR="00D5442F" w:rsidRPr="00B31A9B" w:rsidRDefault="00D5442F" w:rsidP="005F6489">
            <w:pPr>
              <w:spacing w:line="312" w:lineRule="auto"/>
              <w:rPr>
                <w:sz w:val="20"/>
                <w:szCs w:val="20"/>
              </w:rPr>
            </w:pPr>
          </w:p>
        </w:tc>
      </w:tr>
    </w:tbl>
    <w:tbl>
      <w:tblPr>
        <w:tblW w:w="14670" w:type="dxa"/>
        <w:tblCellMar>
          <w:left w:w="0" w:type="dxa"/>
          <w:right w:w="0" w:type="dxa"/>
        </w:tblCellMar>
        <w:tblLook w:val="04A0" w:firstRow="1" w:lastRow="0" w:firstColumn="1" w:lastColumn="0" w:noHBand="0" w:noVBand="1"/>
      </w:tblPr>
      <w:tblGrid>
        <w:gridCol w:w="2448"/>
        <w:gridCol w:w="12222"/>
      </w:tblGrid>
      <w:tr w:rsidR="001D7F0D" w:rsidRPr="00B31A9B" w14:paraId="386DB5E2" w14:textId="77777777" w:rsidTr="00C34389">
        <w:trPr>
          <w:trHeight w:val="351"/>
        </w:trPr>
        <w:tc>
          <w:tcPr>
            <w:tcW w:w="2448" w:type="dxa"/>
            <w:tcBorders>
              <w:top w:val="nil"/>
              <w:left w:val="single" w:sz="18" w:space="0" w:color="auto"/>
              <w:bottom w:val="single" w:sz="8" w:space="0" w:color="auto"/>
              <w:right w:val="single" w:sz="8" w:space="0" w:color="auto"/>
            </w:tcBorders>
            <w:shd w:val="clear" w:color="auto" w:fill="F2F2F2"/>
            <w:tcMar>
              <w:top w:w="115" w:type="dxa"/>
              <w:left w:w="115" w:type="dxa"/>
              <w:bottom w:w="115" w:type="dxa"/>
              <w:right w:w="115" w:type="dxa"/>
            </w:tcMar>
            <w:vAlign w:val="center"/>
          </w:tcPr>
          <w:p w14:paraId="480275BD" w14:textId="77777777" w:rsidR="001D7F0D" w:rsidRDefault="001D7F0D" w:rsidP="00C34389">
            <w:pPr>
              <w:rPr>
                <w:b/>
                <w:bCs/>
                <w:color w:val="000000"/>
                <w:sz w:val="20"/>
                <w:szCs w:val="20"/>
              </w:rPr>
            </w:pPr>
            <w:r>
              <w:rPr>
                <w:b/>
                <w:bCs/>
                <w:color w:val="000000"/>
                <w:sz w:val="20"/>
                <w:szCs w:val="20"/>
              </w:rPr>
              <w:t>Analysis Quarter #4</w:t>
            </w:r>
          </w:p>
        </w:tc>
        <w:tc>
          <w:tcPr>
            <w:tcW w:w="12222" w:type="dxa"/>
            <w:tcBorders>
              <w:top w:val="nil"/>
              <w:left w:val="nil"/>
              <w:bottom w:val="single" w:sz="8" w:space="0" w:color="auto"/>
              <w:right w:val="single" w:sz="18" w:space="0" w:color="auto"/>
            </w:tcBorders>
            <w:tcMar>
              <w:top w:w="115" w:type="dxa"/>
              <w:left w:w="115" w:type="dxa"/>
              <w:bottom w:w="115" w:type="dxa"/>
              <w:right w:w="115" w:type="dxa"/>
            </w:tcMar>
            <w:vAlign w:val="center"/>
          </w:tcPr>
          <w:p w14:paraId="216B9CDE" w14:textId="77777777" w:rsidR="001D7F0D" w:rsidRPr="00B31A9B" w:rsidRDefault="001D7F0D" w:rsidP="00C34389">
            <w:pPr>
              <w:rPr>
                <w:sz w:val="20"/>
                <w:szCs w:val="20"/>
              </w:rPr>
            </w:pPr>
          </w:p>
        </w:tc>
      </w:tr>
    </w:tbl>
    <w:p w14:paraId="6233F6A7" w14:textId="77777777" w:rsidR="00B31A9B" w:rsidRPr="00B31A9B" w:rsidRDefault="00B31A9B" w:rsidP="00B31A9B">
      <w:pPr>
        <w:rPr>
          <w:sz w:val="20"/>
          <w:szCs w:val="20"/>
        </w:rPr>
      </w:pPr>
    </w:p>
    <w:p w14:paraId="7E8A5DF9" w14:textId="77777777" w:rsidR="00B31A9B" w:rsidRPr="00B31A9B" w:rsidRDefault="00B31A9B" w:rsidP="00B31A9B">
      <w:pPr>
        <w:rPr>
          <w:sz w:val="20"/>
          <w:szCs w:val="20"/>
        </w:rPr>
      </w:pPr>
    </w:p>
    <w:p w14:paraId="1D441C96" w14:textId="77777777" w:rsidR="00B31A9B" w:rsidRPr="00B31A9B" w:rsidRDefault="00B31A9B" w:rsidP="00B31A9B">
      <w:pPr>
        <w:rPr>
          <w:sz w:val="20"/>
          <w:szCs w:val="20"/>
        </w:rPr>
      </w:pPr>
    </w:p>
    <w:p w14:paraId="5909552C" w14:textId="55D4A127" w:rsidR="00DD683D" w:rsidRPr="00B31A9B" w:rsidRDefault="00DD683D">
      <w:pPr>
        <w:rPr>
          <w:sz w:val="20"/>
          <w:szCs w:val="20"/>
        </w:rPr>
      </w:pPr>
    </w:p>
    <w:sectPr w:rsidR="00DD683D" w:rsidRPr="00B31A9B" w:rsidSect="00054556">
      <w:footerReference w:type="default" r:id="rId11"/>
      <w:pgSz w:w="15840" w:h="12240" w:orient="landscape" w:code="1"/>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C71DCAF" w14:textId="77777777" w:rsidR="001A2AC6" w:rsidRDefault="001A2AC6" w:rsidP="00C903A7">
      <w:r>
        <w:separator/>
      </w:r>
    </w:p>
  </w:endnote>
  <w:endnote w:type="continuationSeparator" w:id="0">
    <w:p w14:paraId="11E3582D" w14:textId="77777777" w:rsidR="001A2AC6" w:rsidRDefault="001A2AC6" w:rsidP="00C903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48136"/>
      <w:docPartObj>
        <w:docPartGallery w:val="Page Numbers (Bottom of Page)"/>
        <w:docPartUnique/>
      </w:docPartObj>
    </w:sdtPr>
    <w:sdtEndPr>
      <w:rPr>
        <w:noProof/>
      </w:rPr>
    </w:sdtEndPr>
    <w:sdtContent>
      <w:p w14:paraId="0F34D1C9" w14:textId="77777777" w:rsidR="000D1BA5" w:rsidRDefault="000D1BA5">
        <w:pPr>
          <w:pStyle w:val="Footer"/>
        </w:pPr>
        <w:r>
          <w:fldChar w:fldCharType="begin"/>
        </w:r>
        <w:r>
          <w:instrText xml:space="preserve"> PAGE   \* MERGEFORMAT </w:instrText>
        </w:r>
        <w:r>
          <w:fldChar w:fldCharType="separate"/>
        </w:r>
        <w:r w:rsidR="00206D3E">
          <w:rPr>
            <w:noProof/>
          </w:rPr>
          <w:t>10</w:t>
        </w:r>
        <w:r>
          <w:rPr>
            <w:noProof/>
          </w:rPr>
          <w:fldChar w:fldCharType="end"/>
        </w:r>
      </w:p>
    </w:sdtContent>
  </w:sdt>
  <w:p w14:paraId="7860B261" w14:textId="77777777" w:rsidR="000D1BA5" w:rsidRDefault="000D1B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8623B" w14:textId="77777777" w:rsidR="001A2AC6" w:rsidRDefault="001A2AC6" w:rsidP="00C903A7">
      <w:r>
        <w:separator/>
      </w:r>
    </w:p>
  </w:footnote>
  <w:footnote w:type="continuationSeparator" w:id="0">
    <w:p w14:paraId="5EB9288A" w14:textId="77777777" w:rsidR="001A2AC6" w:rsidRDefault="001A2AC6" w:rsidP="00C903A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01" type="#_x0000_t75" style="width:11.25pt;height:11.25pt" o:bullet="t">
        <v:imagedata r:id="rId1" o:title="mso77A7"/>
      </v:shape>
    </w:pict>
  </w:numPicBullet>
  <w:abstractNum w:abstractNumId="0" w15:restartNumberingAfterBreak="0">
    <w:nsid w:val="033A060E"/>
    <w:multiLevelType w:val="multilevel"/>
    <w:tmpl w:val="0E1A6CB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1" w15:restartNumberingAfterBreak="0">
    <w:nsid w:val="05D0387F"/>
    <w:multiLevelType w:val="hybridMultilevel"/>
    <w:tmpl w:val="4F68D98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9A3F19"/>
    <w:multiLevelType w:val="multilevel"/>
    <w:tmpl w:val="D14253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257A9C"/>
    <w:multiLevelType w:val="hybridMultilevel"/>
    <w:tmpl w:val="248428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A1F3C22"/>
    <w:multiLevelType w:val="hybridMultilevel"/>
    <w:tmpl w:val="3D60E2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1DFE47A1"/>
    <w:multiLevelType w:val="hybridMultilevel"/>
    <w:tmpl w:val="665443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1E8043FB"/>
    <w:multiLevelType w:val="multilevel"/>
    <w:tmpl w:val="8F5AD53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21F85FF1"/>
    <w:multiLevelType w:val="hybridMultilevel"/>
    <w:tmpl w:val="BB9A9D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2BA654F"/>
    <w:multiLevelType w:val="hybridMultilevel"/>
    <w:tmpl w:val="996C71D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3C8624B"/>
    <w:multiLevelType w:val="hybridMultilevel"/>
    <w:tmpl w:val="5DE0B2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26C931B4"/>
    <w:multiLevelType w:val="hybridMultilevel"/>
    <w:tmpl w:val="534AC4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26FC522A"/>
    <w:multiLevelType w:val="multilevel"/>
    <w:tmpl w:val="9FA04D4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9CD64A2"/>
    <w:multiLevelType w:val="multilevel"/>
    <w:tmpl w:val="EDC40E3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E130E4"/>
    <w:multiLevelType w:val="hybridMultilevel"/>
    <w:tmpl w:val="94F29D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1525D47"/>
    <w:multiLevelType w:val="multilevel"/>
    <w:tmpl w:val="93909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15:restartNumberingAfterBreak="0">
    <w:nsid w:val="360E7FBD"/>
    <w:multiLevelType w:val="hybridMultilevel"/>
    <w:tmpl w:val="82AED11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36906EA7"/>
    <w:multiLevelType w:val="hybridMultilevel"/>
    <w:tmpl w:val="ACFA6A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47415107"/>
    <w:multiLevelType w:val="hybridMultilevel"/>
    <w:tmpl w:val="49022CF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8" w15:restartNumberingAfterBreak="0">
    <w:nsid w:val="48DD0A24"/>
    <w:multiLevelType w:val="multilevel"/>
    <w:tmpl w:val="9390975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9" w15:restartNumberingAfterBreak="0">
    <w:nsid w:val="4A9C19CE"/>
    <w:multiLevelType w:val="multilevel"/>
    <w:tmpl w:val="47C23AA8"/>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0" w15:restartNumberingAfterBreak="0">
    <w:nsid w:val="4C8D707E"/>
    <w:multiLevelType w:val="hybridMultilevel"/>
    <w:tmpl w:val="A6129E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5728CD"/>
    <w:multiLevelType w:val="multilevel"/>
    <w:tmpl w:val="EF6C91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FE300C2"/>
    <w:multiLevelType w:val="hybridMultilevel"/>
    <w:tmpl w:val="477CB194"/>
    <w:lvl w:ilvl="0" w:tplc="04090001">
      <w:start w:val="1"/>
      <w:numFmt w:val="bullet"/>
      <w:lvlText w:val=""/>
      <w:lvlJc w:val="left"/>
      <w:pPr>
        <w:ind w:left="360" w:hanging="360"/>
      </w:pPr>
      <w:rPr>
        <w:rFonts w:ascii="Symbol" w:hAnsi="Symbol" w:hint="default"/>
      </w:rPr>
    </w:lvl>
    <w:lvl w:ilvl="1" w:tplc="0409000D">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3" w15:restartNumberingAfterBreak="0">
    <w:nsid w:val="5032596F"/>
    <w:multiLevelType w:val="hybridMultilevel"/>
    <w:tmpl w:val="880A5C40"/>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4" w15:restartNumberingAfterBreak="0">
    <w:nsid w:val="50BB6F75"/>
    <w:multiLevelType w:val="multilevel"/>
    <w:tmpl w:val="0E1A6CB4"/>
    <w:lvl w:ilvl="0">
      <w:start w:val="1"/>
      <w:numFmt w:val="bullet"/>
      <w:lvlText w:val=""/>
      <w:lvlJc w:val="left"/>
      <w:pPr>
        <w:tabs>
          <w:tab w:val="num" w:pos="360"/>
        </w:tabs>
        <w:ind w:left="360" w:hanging="360"/>
      </w:pPr>
      <w:rPr>
        <w:rFonts w:ascii="Symbol" w:hAnsi="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800"/>
        </w:tabs>
        <w:ind w:left="180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3240"/>
        </w:tabs>
        <w:ind w:left="3240" w:hanging="360"/>
      </w:pPr>
    </w:lvl>
    <w:lvl w:ilvl="5">
      <w:start w:val="1"/>
      <w:numFmt w:val="decimal"/>
      <w:lvlText w:val="%6."/>
      <w:lvlJc w:val="left"/>
      <w:pPr>
        <w:tabs>
          <w:tab w:val="num" w:pos="3960"/>
        </w:tabs>
        <w:ind w:left="3960" w:hanging="360"/>
      </w:pPr>
    </w:lvl>
    <w:lvl w:ilvl="6">
      <w:start w:val="1"/>
      <w:numFmt w:val="decimal"/>
      <w:lvlText w:val="%7."/>
      <w:lvlJc w:val="left"/>
      <w:pPr>
        <w:tabs>
          <w:tab w:val="num" w:pos="4680"/>
        </w:tabs>
        <w:ind w:left="4680" w:hanging="360"/>
      </w:pPr>
    </w:lvl>
    <w:lvl w:ilvl="7">
      <w:start w:val="1"/>
      <w:numFmt w:val="decimal"/>
      <w:lvlText w:val="%8."/>
      <w:lvlJc w:val="left"/>
      <w:pPr>
        <w:tabs>
          <w:tab w:val="num" w:pos="5400"/>
        </w:tabs>
        <w:ind w:left="5400" w:hanging="360"/>
      </w:pPr>
    </w:lvl>
    <w:lvl w:ilvl="8">
      <w:start w:val="1"/>
      <w:numFmt w:val="decimal"/>
      <w:lvlText w:val="%9."/>
      <w:lvlJc w:val="left"/>
      <w:pPr>
        <w:tabs>
          <w:tab w:val="num" w:pos="6120"/>
        </w:tabs>
        <w:ind w:left="6120" w:hanging="360"/>
      </w:pPr>
    </w:lvl>
  </w:abstractNum>
  <w:abstractNum w:abstractNumId="25" w15:restartNumberingAfterBreak="0">
    <w:nsid w:val="52FD7A90"/>
    <w:multiLevelType w:val="hybridMultilevel"/>
    <w:tmpl w:val="8B74457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52F23AD"/>
    <w:multiLevelType w:val="hybridMultilevel"/>
    <w:tmpl w:val="A25E5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5446378"/>
    <w:multiLevelType w:val="hybridMultilevel"/>
    <w:tmpl w:val="7F2084AC"/>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7076740"/>
    <w:multiLevelType w:val="hybridMultilevel"/>
    <w:tmpl w:val="D64A72A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15:restartNumberingAfterBreak="0">
    <w:nsid w:val="59B239F9"/>
    <w:multiLevelType w:val="hybridMultilevel"/>
    <w:tmpl w:val="9D5432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AA528F4"/>
    <w:multiLevelType w:val="hybridMultilevel"/>
    <w:tmpl w:val="8F60E4F4"/>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D7406BA"/>
    <w:multiLevelType w:val="hybridMultilevel"/>
    <w:tmpl w:val="6A6AFAB8"/>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2" w15:restartNumberingAfterBreak="0">
    <w:nsid w:val="62662987"/>
    <w:multiLevelType w:val="hybridMultilevel"/>
    <w:tmpl w:val="61A8E4CE"/>
    <w:lvl w:ilvl="0" w:tplc="FFE6B44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642815CE"/>
    <w:multiLevelType w:val="hybridMultilevel"/>
    <w:tmpl w:val="48FC80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52E639B"/>
    <w:multiLevelType w:val="hybridMultilevel"/>
    <w:tmpl w:val="F4866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54D19BB"/>
    <w:multiLevelType w:val="hybridMultilevel"/>
    <w:tmpl w:val="534AB10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69C20A19"/>
    <w:multiLevelType w:val="hybridMultilevel"/>
    <w:tmpl w:val="20F4AEB6"/>
    <w:lvl w:ilvl="0" w:tplc="F620BD0A">
      <w:start w:val="1"/>
      <w:numFmt w:val="bullet"/>
      <w:lvlText w:val="•"/>
      <w:lvlJc w:val="left"/>
      <w:pPr>
        <w:tabs>
          <w:tab w:val="num" w:pos="360"/>
        </w:tabs>
        <w:ind w:left="360" w:hanging="360"/>
      </w:pPr>
      <w:rPr>
        <w:rFonts w:ascii="Arial" w:hAnsi="Arial" w:cs="Times New Roman" w:hint="default"/>
      </w:rPr>
    </w:lvl>
    <w:lvl w:ilvl="1" w:tplc="9B242120">
      <w:start w:val="1"/>
      <w:numFmt w:val="bullet"/>
      <w:lvlText w:val="•"/>
      <w:lvlJc w:val="left"/>
      <w:pPr>
        <w:tabs>
          <w:tab w:val="num" w:pos="1080"/>
        </w:tabs>
        <w:ind w:left="1080" w:hanging="360"/>
      </w:pPr>
      <w:rPr>
        <w:rFonts w:ascii="Arial" w:hAnsi="Arial" w:cs="Times New Roman" w:hint="default"/>
      </w:rPr>
    </w:lvl>
    <w:lvl w:ilvl="2" w:tplc="107474D2">
      <w:start w:val="1"/>
      <w:numFmt w:val="bullet"/>
      <w:lvlText w:val="•"/>
      <w:lvlJc w:val="left"/>
      <w:pPr>
        <w:tabs>
          <w:tab w:val="num" w:pos="1800"/>
        </w:tabs>
        <w:ind w:left="1800" w:hanging="360"/>
      </w:pPr>
      <w:rPr>
        <w:rFonts w:ascii="Arial" w:hAnsi="Arial" w:cs="Times New Roman" w:hint="default"/>
      </w:rPr>
    </w:lvl>
    <w:lvl w:ilvl="3" w:tplc="22AC8308">
      <w:start w:val="1"/>
      <w:numFmt w:val="bullet"/>
      <w:lvlText w:val="•"/>
      <w:lvlJc w:val="left"/>
      <w:pPr>
        <w:tabs>
          <w:tab w:val="num" w:pos="2520"/>
        </w:tabs>
        <w:ind w:left="2520" w:hanging="360"/>
      </w:pPr>
      <w:rPr>
        <w:rFonts w:ascii="Arial" w:hAnsi="Arial" w:cs="Times New Roman" w:hint="default"/>
      </w:rPr>
    </w:lvl>
    <w:lvl w:ilvl="4" w:tplc="4F6A196A">
      <w:start w:val="1"/>
      <w:numFmt w:val="bullet"/>
      <w:lvlText w:val="•"/>
      <w:lvlJc w:val="left"/>
      <w:pPr>
        <w:tabs>
          <w:tab w:val="num" w:pos="3240"/>
        </w:tabs>
        <w:ind w:left="3240" w:hanging="360"/>
      </w:pPr>
      <w:rPr>
        <w:rFonts w:ascii="Arial" w:hAnsi="Arial" w:cs="Times New Roman" w:hint="default"/>
      </w:rPr>
    </w:lvl>
    <w:lvl w:ilvl="5" w:tplc="482AF278">
      <w:start w:val="1"/>
      <w:numFmt w:val="bullet"/>
      <w:lvlText w:val="•"/>
      <w:lvlJc w:val="left"/>
      <w:pPr>
        <w:tabs>
          <w:tab w:val="num" w:pos="3960"/>
        </w:tabs>
        <w:ind w:left="3960" w:hanging="360"/>
      </w:pPr>
      <w:rPr>
        <w:rFonts w:ascii="Arial" w:hAnsi="Arial" w:cs="Times New Roman" w:hint="default"/>
      </w:rPr>
    </w:lvl>
    <w:lvl w:ilvl="6" w:tplc="9360476E">
      <w:start w:val="1"/>
      <w:numFmt w:val="bullet"/>
      <w:lvlText w:val="•"/>
      <w:lvlJc w:val="left"/>
      <w:pPr>
        <w:tabs>
          <w:tab w:val="num" w:pos="4680"/>
        </w:tabs>
        <w:ind w:left="4680" w:hanging="360"/>
      </w:pPr>
      <w:rPr>
        <w:rFonts w:ascii="Arial" w:hAnsi="Arial" w:cs="Times New Roman" w:hint="default"/>
      </w:rPr>
    </w:lvl>
    <w:lvl w:ilvl="7" w:tplc="A2262794">
      <w:start w:val="1"/>
      <w:numFmt w:val="bullet"/>
      <w:lvlText w:val="•"/>
      <w:lvlJc w:val="left"/>
      <w:pPr>
        <w:tabs>
          <w:tab w:val="num" w:pos="5400"/>
        </w:tabs>
        <w:ind w:left="5400" w:hanging="360"/>
      </w:pPr>
      <w:rPr>
        <w:rFonts w:ascii="Arial" w:hAnsi="Arial" w:cs="Times New Roman" w:hint="default"/>
      </w:rPr>
    </w:lvl>
    <w:lvl w:ilvl="8" w:tplc="E7265AFC">
      <w:start w:val="1"/>
      <w:numFmt w:val="bullet"/>
      <w:lvlText w:val="•"/>
      <w:lvlJc w:val="left"/>
      <w:pPr>
        <w:tabs>
          <w:tab w:val="num" w:pos="6120"/>
        </w:tabs>
        <w:ind w:left="6120" w:hanging="360"/>
      </w:pPr>
      <w:rPr>
        <w:rFonts w:ascii="Arial" w:hAnsi="Arial" w:cs="Times New Roman" w:hint="default"/>
      </w:rPr>
    </w:lvl>
  </w:abstractNum>
  <w:abstractNum w:abstractNumId="37" w15:restartNumberingAfterBreak="0">
    <w:nsid w:val="6F7B0FDC"/>
    <w:multiLevelType w:val="hybridMultilevel"/>
    <w:tmpl w:val="BD36593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70E43787"/>
    <w:multiLevelType w:val="hybridMultilevel"/>
    <w:tmpl w:val="550049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73E03A19"/>
    <w:multiLevelType w:val="multilevel"/>
    <w:tmpl w:val="02B64F3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2"/>
  </w:num>
  <w:num w:numId="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6"/>
  </w:num>
  <w:num w:numId="7">
    <w:abstractNumId w:val="9"/>
  </w:num>
  <w:num w:numId="8">
    <w:abstractNumId w:val="3"/>
  </w:num>
  <w:num w:numId="9">
    <w:abstractNumId w:val="38"/>
  </w:num>
  <w:num w:numId="10">
    <w:abstractNumId w:val="37"/>
  </w:num>
  <w:num w:numId="11">
    <w:abstractNumId w:val="17"/>
  </w:num>
  <w:num w:numId="12">
    <w:abstractNumId w:val="12"/>
  </w:num>
  <w:num w:numId="13">
    <w:abstractNumId w:val="36"/>
  </w:num>
  <w:num w:numId="14">
    <w:abstractNumId w:val="22"/>
  </w:num>
  <w:num w:numId="15">
    <w:abstractNumId w:val="35"/>
  </w:num>
  <w:num w:numId="16">
    <w:abstractNumId w:val="28"/>
  </w:num>
  <w:num w:numId="17">
    <w:abstractNumId w:val="31"/>
  </w:num>
  <w:num w:numId="18">
    <w:abstractNumId w:val="13"/>
  </w:num>
  <w:num w:numId="19">
    <w:abstractNumId w:val="6"/>
  </w:num>
  <w:num w:numId="20">
    <w:abstractNumId w:val="21"/>
  </w:num>
  <w:num w:numId="21">
    <w:abstractNumId w:val="11"/>
  </w:num>
  <w:num w:numId="22">
    <w:abstractNumId w:val="39"/>
  </w:num>
  <w:num w:numId="23">
    <w:abstractNumId w:val="23"/>
  </w:num>
  <w:num w:numId="24">
    <w:abstractNumId w:val="5"/>
  </w:num>
  <w:num w:numId="25">
    <w:abstractNumId w:val="15"/>
  </w:num>
  <w:num w:numId="26">
    <w:abstractNumId w:val="6"/>
  </w:num>
  <w:num w:numId="27">
    <w:abstractNumId w:val="21"/>
  </w:num>
  <w:num w:numId="28">
    <w:abstractNumId w:val="11"/>
  </w:num>
  <w:num w:numId="29">
    <w:abstractNumId w:val="39"/>
  </w:num>
  <w:num w:numId="30">
    <w:abstractNumId w:val="26"/>
  </w:num>
  <w:num w:numId="31">
    <w:abstractNumId w:val="1"/>
  </w:num>
  <w:num w:numId="32">
    <w:abstractNumId w:val="25"/>
  </w:num>
  <w:num w:numId="33">
    <w:abstractNumId w:val="34"/>
  </w:num>
  <w:num w:numId="34">
    <w:abstractNumId w:val="7"/>
  </w:num>
  <w:num w:numId="35">
    <w:abstractNumId w:val="8"/>
  </w:num>
  <w:num w:numId="36">
    <w:abstractNumId w:val="0"/>
  </w:num>
  <w:num w:numId="37">
    <w:abstractNumId w:val="20"/>
  </w:num>
  <w:num w:numId="38">
    <w:abstractNumId w:val="18"/>
  </w:num>
  <w:num w:numId="39">
    <w:abstractNumId w:val="30"/>
  </w:num>
  <w:num w:numId="40">
    <w:abstractNumId w:val="33"/>
  </w:num>
  <w:num w:numId="41">
    <w:abstractNumId w:val="29"/>
  </w:num>
  <w:num w:numId="42">
    <w:abstractNumId w:val="19"/>
  </w:num>
  <w:num w:numId="43">
    <w:abstractNumId w:val="27"/>
  </w:num>
  <w:num w:numId="44">
    <w:abstractNumId w:val="32"/>
  </w:num>
  <w:num w:numId="4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6EA"/>
    <w:rsid w:val="00003DC4"/>
    <w:rsid w:val="0001489A"/>
    <w:rsid w:val="00036A3F"/>
    <w:rsid w:val="0003710B"/>
    <w:rsid w:val="00037A53"/>
    <w:rsid w:val="00045F37"/>
    <w:rsid w:val="00047AD7"/>
    <w:rsid w:val="00054556"/>
    <w:rsid w:val="00072E3C"/>
    <w:rsid w:val="0007700C"/>
    <w:rsid w:val="00096983"/>
    <w:rsid w:val="000A0FD0"/>
    <w:rsid w:val="000B3A35"/>
    <w:rsid w:val="000B6670"/>
    <w:rsid w:val="000C0569"/>
    <w:rsid w:val="000C5AD1"/>
    <w:rsid w:val="000D1BA5"/>
    <w:rsid w:val="000D1DCC"/>
    <w:rsid w:val="000D74C1"/>
    <w:rsid w:val="000E6971"/>
    <w:rsid w:val="00107E50"/>
    <w:rsid w:val="00133568"/>
    <w:rsid w:val="00137F65"/>
    <w:rsid w:val="00142E8F"/>
    <w:rsid w:val="001431EF"/>
    <w:rsid w:val="00147915"/>
    <w:rsid w:val="0015739A"/>
    <w:rsid w:val="00160EF7"/>
    <w:rsid w:val="00163C76"/>
    <w:rsid w:val="0017086A"/>
    <w:rsid w:val="001873B3"/>
    <w:rsid w:val="00192711"/>
    <w:rsid w:val="001A2AC6"/>
    <w:rsid w:val="001B1728"/>
    <w:rsid w:val="001B2049"/>
    <w:rsid w:val="001D2CAC"/>
    <w:rsid w:val="001D7F0D"/>
    <w:rsid w:val="001E108D"/>
    <w:rsid w:val="00206D3E"/>
    <w:rsid w:val="00207592"/>
    <w:rsid w:val="00215F90"/>
    <w:rsid w:val="00216C36"/>
    <w:rsid w:val="00223D2F"/>
    <w:rsid w:val="0022490A"/>
    <w:rsid w:val="00247AEB"/>
    <w:rsid w:val="00254563"/>
    <w:rsid w:val="00274B08"/>
    <w:rsid w:val="002855E4"/>
    <w:rsid w:val="00287264"/>
    <w:rsid w:val="00291EF9"/>
    <w:rsid w:val="002B5E45"/>
    <w:rsid w:val="002C336C"/>
    <w:rsid w:val="002C5A5B"/>
    <w:rsid w:val="002D4E60"/>
    <w:rsid w:val="002E1028"/>
    <w:rsid w:val="002E5A35"/>
    <w:rsid w:val="00305A2B"/>
    <w:rsid w:val="0031112B"/>
    <w:rsid w:val="003220BF"/>
    <w:rsid w:val="00326E32"/>
    <w:rsid w:val="0032718E"/>
    <w:rsid w:val="00333A6E"/>
    <w:rsid w:val="00341FA6"/>
    <w:rsid w:val="00355A58"/>
    <w:rsid w:val="0036165B"/>
    <w:rsid w:val="003A7BC3"/>
    <w:rsid w:val="003B4335"/>
    <w:rsid w:val="003D00E9"/>
    <w:rsid w:val="003D2C37"/>
    <w:rsid w:val="003E41A4"/>
    <w:rsid w:val="003F2FAF"/>
    <w:rsid w:val="003F4019"/>
    <w:rsid w:val="00410FFA"/>
    <w:rsid w:val="004127B4"/>
    <w:rsid w:val="00447C8C"/>
    <w:rsid w:val="00451B85"/>
    <w:rsid w:val="00461C26"/>
    <w:rsid w:val="004629B9"/>
    <w:rsid w:val="00490136"/>
    <w:rsid w:val="004A139E"/>
    <w:rsid w:val="004A6730"/>
    <w:rsid w:val="004B34E3"/>
    <w:rsid w:val="004B3C09"/>
    <w:rsid w:val="004B42CA"/>
    <w:rsid w:val="004C27AC"/>
    <w:rsid w:val="004C7B1E"/>
    <w:rsid w:val="004D59B4"/>
    <w:rsid w:val="004E5D4A"/>
    <w:rsid w:val="004E6C15"/>
    <w:rsid w:val="004E7C06"/>
    <w:rsid w:val="004F59C6"/>
    <w:rsid w:val="00525B7E"/>
    <w:rsid w:val="00526583"/>
    <w:rsid w:val="00526B79"/>
    <w:rsid w:val="005374A7"/>
    <w:rsid w:val="00551B85"/>
    <w:rsid w:val="00552A15"/>
    <w:rsid w:val="00552B8A"/>
    <w:rsid w:val="00556FCB"/>
    <w:rsid w:val="00560F3A"/>
    <w:rsid w:val="0056110F"/>
    <w:rsid w:val="00581B61"/>
    <w:rsid w:val="00590B4A"/>
    <w:rsid w:val="005B4435"/>
    <w:rsid w:val="005B455F"/>
    <w:rsid w:val="005B5C18"/>
    <w:rsid w:val="005E4B74"/>
    <w:rsid w:val="005F6489"/>
    <w:rsid w:val="00614E28"/>
    <w:rsid w:val="00616448"/>
    <w:rsid w:val="00632289"/>
    <w:rsid w:val="00634101"/>
    <w:rsid w:val="00640B47"/>
    <w:rsid w:val="00644AAE"/>
    <w:rsid w:val="00650B4B"/>
    <w:rsid w:val="0068121C"/>
    <w:rsid w:val="00684EA1"/>
    <w:rsid w:val="00690029"/>
    <w:rsid w:val="00692FF2"/>
    <w:rsid w:val="006B0355"/>
    <w:rsid w:val="006C1266"/>
    <w:rsid w:val="006E7507"/>
    <w:rsid w:val="006F2DFD"/>
    <w:rsid w:val="006F586D"/>
    <w:rsid w:val="00707A2B"/>
    <w:rsid w:val="00713887"/>
    <w:rsid w:val="00732357"/>
    <w:rsid w:val="00737E9B"/>
    <w:rsid w:val="00740C9C"/>
    <w:rsid w:val="00776EA4"/>
    <w:rsid w:val="0078138A"/>
    <w:rsid w:val="007853FD"/>
    <w:rsid w:val="007907F1"/>
    <w:rsid w:val="007914A6"/>
    <w:rsid w:val="00792BA3"/>
    <w:rsid w:val="007A4332"/>
    <w:rsid w:val="007C2D21"/>
    <w:rsid w:val="007D1697"/>
    <w:rsid w:val="007D439D"/>
    <w:rsid w:val="007E0EFB"/>
    <w:rsid w:val="007E2905"/>
    <w:rsid w:val="007F6FD2"/>
    <w:rsid w:val="00800E3D"/>
    <w:rsid w:val="008027A8"/>
    <w:rsid w:val="00804CF7"/>
    <w:rsid w:val="008142B7"/>
    <w:rsid w:val="00822CCF"/>
    <w:rsid w:val="00825E58"/>
    <w:rsid w:val="008318A6"/>
    <w:rsid w:val="0084367E"/>
    <w:rsid w:val="00847718"/>
    <w:rsid w:val="00862597"/>
    <w:rsid w:val="0087025F"/>
    <w:rsid w:val="008708B8"/>
    <w:rsid w:val="008861BD"/>
    <w:rsid w:val="00896878"/>
    <w:rsid w:val="008A1ADA"/>
    <w:rsid w:val="008A3350"/>
    <w:rsid w:val="008B4E46"/>
    <w:rsid w:val="008B79CC"/>
    <w:rsid w:val="008C074B"/>
    <w:rsid w:val="008E4424"/>
    <w:rsid w:val="00900943"/>
    <w:rsid w:val="00903D01"/>
    <w:rsid w:val="00910679"/>
    <w:rsid w:val="009307F6"/>
    <w:rsid w:val="009420D2"/>
    <w:rsid w:val="00944E51"/>
    <w:rsid w:val="009505F9"/>
    <w:rsid w:val="00952A71"/>
    <w:rsid w:val="00956CDA"/>
    <w:rsid w:val="00976354"/>
    <w:rsid w:val="00977505"/>
    <w:rsid w:val="00987475"/>
    <w:rsid w:val="0099200F"/>
    <w:rsid w:val="009A1D4A"/>
    <w:rsid w:val="009B76CA"/>
    <w:rsid w:val="009C2780"/>
    <w:rsid w:val="009C7201"/>
    <w:rsid w:val="009D56EA"/>
    <w:rsid w:val="00A04DD1"/>
    <w:rsid w:val="00A17BB5"/>
    <w:rsid w:val="00A40E94"/>
    <w:rsid w:val="00A50ECE"/>
    <w:rsid w:val="00A52048"/>
    <w:rsid w:val="00A72060"/>
    <w:rsid w:val="00A72088"/>
    <w:rsid w:val="00A97A71"/>
    <w:rsid w:val="00AA3DA9"/>
    <w:rsid w:val="00AC26B2"/>
    <w:rsid w:val="00AD7811"/>
    <w:rsid w:val="00AE38F0"/>
    <w:rsid w:val="00B010FF"/>
    <w:rsid w:val="00B0670E"/>
    <w:rsid w:val="00B2035E"/>
    <w:rsid w:val="00B30BE0"/>
    <w:rsid w:val="00B3166F"/>
    <w:rsid w:val="00B31A9B"/>
    <w:rsid w:val="00B42F4B"/>
    <w:rsid w:val="00B53D80"/>
    <w:rsid w:val="00B54D1C"/>
    <w:rsid w:val="00B54DE7"/>
    <w:rsid w:val="00B60AF7"/>
    <w:rsid w:val="00B73641"/>
    <w:rsid w:val="00B96053"/>
    <w:rsid w:val="00BE13B8"/>
    <w:rsid w:val="00C12584"/>
    <w:rsid w:val="00C301CD"/>
    <w:rsid w:val="00C31D9C"/>
    <w:rsid w:val="00C41907"/>
    <w:rsid w:val="00C44A1F"/>
    <w:rsid w:val="00C56299"/>
    <w:rsid w:val="00C61F76"/>
    <w:rsid w:val="00C7479B"/>
    <w:rsid w:val="00C82E82"/>
    <w:rsid w:val="00C903A7"/>
    <w:rsid w:val="00CC029B"/>
    <w:rsid w:val="00CC2EAA"/>
    <w:rsid w:val="00CD6410"/>
    <w:rsid w:val="00CF6BF2"/>
    <w:rsid w:val="00D06777"/>
    <w:rsid w:val="00D30C59"/>
    <w:rsid w:val="00D36852"/>
    <w:rsid w:val="00D371E2"/>
    <w:rsid w:val="00D5442F"/>
    <w:rsid w:val="00D54AB1"/>
    <w:rsid w:val="00D75E64"/>
    <w:rsid w:val="00D7729C"/>
    <w:rsid w:val="00DA286D"/>
    <w:rsid w:val="00DA5418"/>
    <w:rsid w:val="00DB332F"/>
    <w:rsid w:val="00DD683D"/>
    <w:rsid w:val="00DE1BCB"/>
    <w:rsid w:val="00E04041"/>
    <w:rsid w:val="00E175E1"/>
    <w:rsid w:val="00E31978"/>
    <w:rsid w:val="00E42D99"/>
    <w:rsid w:val="00E73D80"/>
    <w:rsid w:val="00EA20C8"/>
    <w:rsid w:val="00EB013C"/>
    <w:rsid w:val="00EB2622"/>
    <w:rsid w:val="00EB671A"/>
    <w:rsid w:val="00EC5557"/>
    <w:rsid w:val="00ED09C3"/>
    <w:rsid w:val="00ED189E"/>
    <w:rsid w:val="00ED72FC"/>
    <w:rsid w:val="00F178E8"/>
    <w:rsid w:val="00F2662F"/>
    <w:rsid w:val="00F52E23"/>
    <w:rsid w:val="00F64C34"/>
    <w:rsid w:val="00F754B1"/>
    <w:rsid w:val="00F8412C"/>
    <w:rsid w:val="00F93401"/>
    <w:rsid w:val="00FA1449"/>
    <w:rsid w:val="00FA6F84"/>
    <w:rsid w:val="00FA7DE7"/>
    <w:rsid w:val="00FE136E"/>
    <w:rsid w:val="00FE66E8"/>
    <w:rsid w:val="00FF75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0FEEB2"/>
  <w15:chartTrackingRefBased/>
  <w15:docId w15:val="{C24D9F0D-2998-4042-A10C-6A001007DD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1A9B"/>
    <w:pPr>
      <w:spacing w:after="0" w:line="240" w:lineRule="auto"/>
    </w:pPr>
    <w:rPr>
      <w:rFonts w:ascii="Calibri" w:hAnsi="Calibri" w:cs="Calibri"/>
    </w:rPr>
  </w:style>
  <w:style w:type="paragraph" w:styleId="Heading1">
    <w:name w:val="heading 1"/>
    <w:basedOn w:val="Normal"/>
    <w:link w:val="Heading1Char"/>
    <w:uiPriority w:val="9"/>
    <w:qFormat/>
    <w:rsid w:val="00B31A9B"/>
    <w:pPr>
      <w:keepNext/>
      <w:spacing w:before="480" w:line="276" w:lineRule="auto"/>
      <w:outlineLvl w:val="0"/>
    </w:pPr>
    <w:rPr>
      <w:rFonts w:ascii="Calibri Light" w:hAnsi="Calibri Light" w:cs="Calibri Light"/>
      <w:b/>
      <w:bCs/>
      <w:color w:val="2E74B5"/>
      <w:kern w:val="36"/>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31A9B"/>
    <w:rPr>
      <w:rFonts w:ascii="Calibri Light" w:hAnsi="Calibri Light" w:cs="Calibri Light"/>
      <w:b/>
      <w:bCs/>
      <w:color w:val="2E74B5"/>
      <w:kern w:val="36"/>
      <w:sz w:val="28"/>
      <w:szCs w:val="28"/>
    </w:rPr>
  </w:style>
  <w:style w:type="paragraph" w:styleId="ListParagraph">
    <w:name w:val="List Paragraph"/>
    <w:basedOn w:val="Normal"/>
    <w:uiPriority w:val="34"/>
    <w:qFormat/>
    <w:rsid w:val="00B31A9B"/>
    <w:pPr>
      <w:spacing w:after="200" w:line="276" w:lineRule="auto"/>
      <w:ind w:left="720"/>
      <w:contextualSpacing/>
    </w:pPr>
  </w:style>
  <w:style w:type="character" w:styleId="Hyperlink">
    <w:name w:val="Hyperlink"/>
    <w:basedOn w:val="DefaultParagraphFont"/>
    <w:uiPriority w:val="99"/>
    <w:unhideWhenUsed/>
    <w:rsid w:val="006B0355"/>
    <w:rPr>
      <w:color w:val="0563C1" w:themeColor="hyperlink"/>
      <w:u w:val="single"/>
    </w:rPr>
  </w:style>
  <w:style w:type="character" w:styleId="CommentReference">
    <w:name w:val="annotation reference"/>
    <w:basedOn w:val="DefaultParagraphFont"/>
    <w:uiPriority w:val="99"/>
    <w:semiHidden/>
    <w:unhideWhenUsed/>
    <w:rsid w:val="008C074B"/>
    <w:rPr>
      <w:sz w:val="16"/>
      <w:szCs w:val="16"/>
    </w:rPr>
  </w:style>
  <w:style w:type="paragraph" w:styleId="CommentText">
    <w:name w:val="annotation text"/>
    <w:basedOn w:val="Normal"/>
    <w:link w:val="CommentTextChar"/>
    <w:uiPriority w:val="99"/>
    <w:semiHidden/>
    <w:unhideWhenUsed/>
    <w:rsid w:val="008C074B"/>
    <w:rPr>
      <w:sz w:val="20"/>
      <w:szCs w:val="20"/>
    </w:rPr>
  </w:style>
  <w:style w:type="character" w:customStyle="1" w:styleId="CommentTextChar">
    <w:name w:val="Comment Text Char"/>
    <w:basedOn w:val="DefaultParagraphFont"/>
    <w:link w:val="CommentText"/>
    <w:uiPriority w:val="99"/>
    <w:semiHidden/>
    <w:rsid w:val="008C074B"/>
    <w:rPr>
      <w:rFonts w:ascii="Calibri" w:hAnsi="Calibri" w:cs="Calibri"/>
      <w:sz w:val="20"/>
      <w:szCs w:val="20"/>
    </w:rPr>
  </w:style>
  <w:style w:type="paragraph" w:styleId="CommentSubject">
    <w:name w:val="annotation subject"/>
    <w:basedOn w:val="CommentText"/>
    <w:next w:val="CommentText"/>
    <w:link w:val="CommentSubjectChar"/>
    <w:uiPriority w:val="99"/>
    <w:semiHidden/>
    <w:unhideWhenUsed/>
    <w:rsid w:val="008C074B"/>
    <w:rPr>
      <w:b/>
      <w:bCs/>
    </w:rPr>
  </w:style>
  <w:style w:type="character" w:customStyle="1" w:styleId="CommentSubjectChar">
    <w:name w:val="Comment Subject Char"/>
    <w:basedOn w:val="CommentTextChar"/>
    <w:link w:val="CommentSubject"/>
    <w:uiPriority w:val="99"/>
    <w:semiHidden/>
    <w:rsid w:val="008C074B"/>
    <w:rPr>
      <w:rFonts w:ascii="Calibri" w:hAnsi="Calibri" w:cs="Calibri"/>
      <w:b/>
      <w:bCs/>
      <w:sz w:val="20"/>
      <w:szCs w:val="20"/>
    </w:rPr>
  </w:style>
  <w:style w:type="paragraph" w:styleId="BalloonText">
    <w:name w:val="Balloon Text"/>
    <w:basedOn w:val="Normal"/>
    <w:link w:val="BalloonTextChar"/>
    <w:uiPriority w:val="99"/>
    <w:semiHidden/>
    <w:unhideWhenUsed/>
    <w:rsid w:val="008C074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074B"/>
    <w:rPr>
      <w:rFonts w:ascii="Segoe UI" w:hAnsi="Segoe UI" w:cs="Segoe UI"/>
      <w:sz w:val="18"/>
      <w:szCs w:val="18"/>
    </w:rPr>
  </w:style>
  <w:style w:type="paragraph" w:styleId="Revision">
    <w:name w:val="Revision"/>
    <w:hidden/>
    <w:uiPriority w:val="99"/>
    <w:semiHidden/>
    <w:rsid w:val="008C074B"/>
    <w:pPr>
      <w:spacing w:after="0" w:line="240" w:lineRule="auto"/>
    </w:pPr>
    <w:rPr>
      <w:rFonts w:ascii="Calibri" w:hAnsi="Calibri" w:cs="Calibri"/>
    </w:rPr>
  </w:style>
  <w:style w:type="paragraph" w:styleId="Header">
    <w:name w:val="header"/>
    <w:basedOn w:val="Normal"/>
    <w:link w:val="HeaderChar"/>
    <w:uiPriority w:val="99"/>
    <w:unhideWhenUsed/>
    <w:rsid w:val="00C903A7"/>
    <w:pPr>
      <w:tabs>
        <w:tab w:val="center" w:pos="4680"/>
        <w:tab w:val="right" w:pos="9360"/>
      </w:tabs>
    </w:pPr>
  </w:style>
  <w:style w:type="character" w:customStyle="1" w:styleId="HeaderChar">
    <w:name w:val="Header Char"/>
    <w:basedOn w:val="DefaultParagraphFont"/>
    <w:link w:val="Header"/>
    <w:uiPriority w:val="99"/>
    <w:rsid w:val="00C903A7"/>
    <w:rPr>
      <w:rFonts w:ascii="Calibri" w:hAnsi="Calibri" w:cs="Calibri"/>
    </w:rPr>
  </w:style>
  <w:style w:type="paragraph" w:styleId="Footer">
    <w:name w:val="footer"/>
    <w:basedOn w:val="Normal"/>
    <w:link w:val="FooterChar"/>
    <w:uiPriority w:val="99"/>
    <w:unhideWhenUsed/>
    <w:rsid w:val="00C903A7"/>
    <w:pPr>
      <w:tabs>
        <w:tab w:val="center" w:pos="4680"/>
        <w:tab w:val="right" w:pos="9360"/>
      </w:tabs>
    </w:pPr>
  </w:style>
  <w:style w:type="character" w:customStyle="1" w:styleId="FooterChar">
    <w:name w:val="Footer Char"/>
    <w:basedOn w:val="DefaultParagraphFont"/>
    <w:link w:val="Footer"/>
    <w:uiPriority w:val="99"/>
    <w:rsid w:val="00C903A7"/>
    <w:rPr>
      <w:rFonts w:ascii="Calibri" w:hAnsi="Calibri" w:cs="Calibri"/>
    </w:rPr>
  </w:style>
  <w:style w:type="paragraph" w:customStyle="1" w:styleId="m8752614383209596710msolistparagraph">
    <w:name w:val="m8752614383209596710msolistparagraph"/>
    <w:basedOn w:val="Normal"/>
    <w:uiPriority w:val="99"/>
    <w:rsid w:val="000D1DCC"/>
    <w:pPr>
      <w:spacing w:before="100" w:beforeAutospacing="1" w:after="100" w:afterAutospacing="1"/>
    </w:pPr>
  </w:style>
  <w:style w:type="character" w:styleId="Strong">
    <w:name w:val="Strong"/>
    <w:basedOn w:val="DefaultParagraphFont"/>
    <w:uiPriority w:val="22"/>
    <w:qFormat/>
    <w:rsid w:val="000D1DC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231407">
      <w:bodyDiv w:val="1"/>
      <w:marLeft w:val="0"/>
      <w:marRight w:val="0"/>
      <w:marTop w:val="0"/>
      <w:marBottom w:val="0"/>
      <w:divBdr>
        <w:top w:val="none" w:sz="0" w:space="0" w:color="auto"/>
        <w:left w:val="none" w:sz="0" w:space="0" w:color="auto"/>
        <w:bottom w:val="none" w:sz="0" w:space="0" w:color="auto"/>
        <w:right w:val="none" w:sz="0" w:space="0" w:color="auto"/>
      </w:divBdr>
    </w:div>
    <w:div w:id="551617941">
      <w:bodyDiv w:val="1"/>
      <w:marLeft w:val="0"/>
      <w:marRight w:val="0"/>
      <w:marTop w:val="0"/>
      <w:marBottom w:val="0"/>
      <w:divBdr>
        <w:top w:val="none" w:sz="0" w:space="0" w:color="auto"/>
        <w:left w:val="none" w:sz="0" w:space="0" w:color="auto"/>
        <w:bottom w:val="none" w:sz="0" w:space="0" w:color="auto"/>
        <w:right w:val="none" w:sz="0" w:space="0" w:color="auto"/>
      </w:divBdr>
    </w:div>
    <w:div w:id="1314332738">
      <w:bodyDiv w:val="1"/>
      <w:marLeft w:val="0"/>
      <w:marRight w:val="0"/>
      <w:marTop w:val="0"/>
      <w:marBottom w:val="0"/>
      <w:divBdr>
        <w:top w:val="none" w:sz="0" w:space="0" w:color="auto"/>
        <w:left w:val="none" w:sz="0" w:space="0" w:color="auto"/>
        <w:bottom w:val="none" w:sz="0" w:space="0" w:color="auto"/>
        <w:right w:val="none" w:sz="0" w:space="0" w:color="auto"/>
      </w:divBdr>
    </w:div>
    <w:div w:id="1992711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www.dnr.wa.gov/Publications/ger_ic114_resilient_washington_state.pdf" TargetMode="External"/><Relationship Id="rId4" Type="http://schemas.openxmlformats.org/officeDocument/2006/relationships/settings" Target="settings.xml"/><Relationship Id="rId9" Type="http://schemas.openxmlformats.org/officeDocument/2006/relationships/hyperlink" Target="https://ofm.wa.gov/about/special-initiatives/washington-resilience-group"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91F5CA-4E2A-45D5-BA4A-1B2E9F4E97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328</TotalTime>
  <Pages>15</Pages>
  <Words>4691</Words>
  <Characters>26742</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Pierce College</Company>
  <LinksUpToDate>false</LinksUpToDate>
  <CharactersWithSpaces>31371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Crerar</dc:creator>
  <cp:keywords/>
  <dc:description/>
  <cp:lastModifiedBy>Jasmine May</cp:lastModifiedBy>
  <cp:revision>8</cp:revision>
  <cp:lastPrinted>2023-12-06T21:31:00Z</cp:lastPrinted>
  <dcterms:created xsi:type="dcterms:W3CDTF">2023-12-05T22:14:00Z</dcterms:created>
  <dcterms:modified xsi:type="dcterms:W3CDTF">2023-12-06T23:22:00Z</dcterms:modified>
</cp:coreProperties>
</file>