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32" w:rsidRPr="005F1F23" w:rsidRDefault="006A1B32" w:rsidP="00EB630A">
      <w:pPr>
        <w:pStyle w:val="Heading1"/>
        <w:pBdr>
          <w:bottom w:val="single" w:sz="18" w:space="1" w:color="auto"/>
        </w:pBdr>
        <w:spacing w:before="240" w:after="240"/>
        <w:rPr>
          <w:color w:val="auto"/>
        </w:rPr>
      </w:pPr>
      <w:bookmarkStart w:id="0" w:name="_GoBack"/>
      <w:bookmarkEnd w:id="0"/>
      <w:r w:rsidRPr="005F1F23">
        <w:rPr>
          <w:color w:val="auto"/>
        </w:rPr>
        <w:t xml:space="preserve">Center of Excellence </w:t>
      </w:r>
      <w:r w:rsidR="007C187A">
        <w:rPr>
          <w:color w:val="auto"/>
        </w:rPr>
        <w:t>FY</w:t>
      </w:r>
      <w:r w:rsidR="00E935DF">
        <w:rPr>
          <w:color w:val="auto"/>
        </w:rPr>
        <w:t>23</w:t>
      </w:r>
      <w:r w:rsidRPr="005F1F23">
        <w:rPr>
          <w:color w:val="auto"/>
        </w:rPr>
        <w:t xml:space="preserve"> Work Plan and Quarterly Report</w:t>
      </w:r>
    </w:p>
    <w:p w:rsidR="006A1B32" w:rsidRPr="001C6EAF" w:rsidRDefault="00EB630A">
      <w:pPr>
        <w:rPr>
          <w:b/>
        </w:rPr>
      </w:pPr>
      <w:r>
        <w:t xml:space="preserve">Center Name: </w:t>
      </w:r>
      <w:r w:rsidR="001C6EAF">
        <w:t xml:space="preserve"> </w:t>
      </w:r>
      <w:r w:rsidR="001C6EAF">
        <w:rPr>
          <w:b/>
        </w:rPr>
        <w:t>Homeland Security-Emergency Management (HSEM)</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3F205A" w:rsidTr="00A95031">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3F205A" w:rsidRPr="00720C2F" w:rsidRDefault="00686EF8" w:rsidP="002174E6">
            <w:pPr>
              <w:jc w:val="center"/>
              <w:rPr>
                <w:b/>
              </w:rPr>
            </w:pPr>
            <w:r w:rsidRPr="002D2ACF">
              <w:rPr>
                <w:b/>
              </w:rPr>
              <w:br w:type="page"/>
            </w:r>
            <w:r w:rsidR="002174E6" w:rsidRPr="002D2ACF">
              <w:rPr>
                <w:b/>
              </w:rPr>
              <w:t>Core Expectations</w:t>
            </w:r>
            <w:r w:rsidR="003F205A">
              <w:br w:type="page"/>
            </w:r>
          </w:p>
        </w:tc>
        <w:tc>
          <w:tcPr>
            <w:tcW w:w="12222" w:type="dxa"/>
            <w:gridSpan w:val="2"/>
            <w:tcBorders>
              <w:top w:val="single" w:sz="18" w:space="0" w:color="auto"/>
              <w:right w:val="single" w:sz="18" w:space="0" w:color="auto"/>
            </w:tcBorders>
            <w:shd w:val="clear" w:color="auto" w:fill="D9D9D9" w:themeFill="background1" w:themeFillShade="D9"/>
            <w:vAlign w:val="center"/>
          </w:tcPr>
          <w:p w:rsidR="003F205A" w:rsidRPr="00720C2F" w:rsidRDefault="003F205A" w:rsidP="00A95031">
            <w:pPr>
              <w:jc w:val="center"/>
              <w:rPr>
                <w:b/>
              </w:rPr>
            </w:pPr>
            <w:r w:rsidRPr="00720C2F">
              <w:rPr>
                <w:b/>
              </w:rPr>
              <w:t>Activity</w:t>
            </w:r>
            <w:r w:rsidR="000751CE">
              <w:rPr>
                <w:b/>
              </w:rPr>
              <w:t xml:space="preserve"> #1</w:t>
            </w:r>
          </w:p>
        </w:tc>
      </w:tr>
      <w:tr w:rsidR="003F205A" w:rsidTr="00C95608">
        <w:trPr>
          <w:trHeight w:val="775"/>
        </w:trPr>
        <w:tc>
          <w:tcPr>
            <w:tcW w:w="2448" w:type="dxa"/>
            <w:tcBorders>
              <w:left w:val="single" w:sz="18" w:space="0" w:color="auto"/>
            </w:tcBorders>
            <w:vAlign w:val="center"/>
          </w:tcPr>
          <w:p w:rsidR="003F205A" w:rsidRPr="00AB534E" w:rsidRDefault="00B02586" w:rsidP="00A95031">
            <w:pPr>
              <w:tabs>
                <w:tab w:val="left" w:pos="360"/>
              </w:tabs>
              <w:spacing w:line="480" w:lineRule="auto"/>
              <w:rPr>
                <w:sz w:val="16"/>
              </w:rPr>
            </w:pPr>
            <w:sdt>
              <w:sdtPr>
                <w:rPr>
                  <w:sz w:val="16"/>
                </w:rPr>
                <w:id w:val="1399406453"/>
                <w14:checkbox>
                  <w14:checked w14:val="1"/>
                  <w14:checkedState w14:val="2612" w14:font="MS Gothic"/>
                  <w14:uncheckedState w14:val="2610" w14:font="MS Gothic"/>
                </w14:checkbox>
              </w:sdtPr>
              <w:sdtEndPr/>
              <w:sdtContent>
                <w:r w:rsidR="00830658">
                  <w:rPr>
                    <w:rFonts w:ascii="MS Gothic" w:eastAsia="MS Gothic" w:hAnsi="MS Gothic" w:hint="eastAsia"/>
                    <w:sz w:val="16"/>
                  </w:rPr>
                  <w:t>☒</w:t>
                </w:r>
              </w:sdtContent>
            </w:sdt>
            <w:r w:rsidR="0020592B">
              <w:rPr>
                <w:sz w:val="16"/>
              </w:rPr>
              <w:t xml:space="preserve"> </w:t>
            </w:r>
            <w:r w:rsidR="003F205A" w:rsidRPr="00AB534E">
              <w:rPr>
                <w:sz w:val="16"/>
              </w:rPr>
              <w:t>Economic Development</w:t>
            </w:r>
          </w:p>
          <w:p w:rsidR="003F205A" w:rsidRPr="00AB534E" w:rsidRDefault="00B02586" w:rsidP="00A95031">
            <w:pPr>
              <w:tabs>
                <w:tab w:val="left" w:pos="360"/>
              </w:tabs>
              <w:spacing w:line="480" w:lineRule="auto"/>
              <w:rPr>
                <w:sz w:val="16"/>
              </w:rPr>
            </w:pPr>
            <w:sdt>
              <w:sdtPr>
                <w:rPr>
                  <w:sz w:val="16"/>
                </w:rPr>
                <w:id w:val="-1259592517"/>
                <w14:checkbox>
                  <w14:checked w14:val="0"/>
                  <w14:checkedState w14:val="2612" w14:font="MS Gothic"/>
                  <w14:uncheckedState w14:val="2610" w14:font="MS Gothic"/>
                </w14:checkbox>
              </w:sdtPr>
              <w:sdtEndPr/>
              <w:sdtContent>
                <w:r w:rsidR="003F205A">
                  <w:rPr>
                    <w:rFonts w:ascii="MS Gothic" w:eastAsia="MS Gothic" w:hAnsi="MS Gothic" w:hint="eastAsia"/>
                    <w:sz w:val="16"/>
                  </w:rPr>
                  <w:t>☐</w:t>
                </w:r>
              </w:sdtContent>
            </w:sdt>
            <w:r w:rsidR="0020592B">
              <w:rPr>
                <w:sz w:val="16"/>
              </w:rPr>
              <w:t xml:space="preserve"> </w:t>
            </w:r>
            <w:r w:rsidR="003F205A" w:rsidRPr="00AB534E">
              <w:rPr>
                <w:sz w:val="16"/>
              </w:rPr>
              <w:t>Sector Strategy</w:t>
            </w:r>
          </w:p>
          <w:p w:rsidR="003F205A" w:rsidRPr="00AB534E" w:rsidRDefault="00B02586" w:rsidP="00A95031">
            <w:pPr>
              <w:tabs>
                <w:tab w:val="left" w:pos="360"/>
              </w:tabs>
              <w:spacing w:line="480" w:lineRule="auto"/>
              <w:rPr>
                <w:sz w:val="16"/>
              </w:rPr>
            </w:pPr>
            <w:sdt>
              <w:sdtPr>
                <w:rPr>
                  <w:sz w:val="16"/>
                </w:rPr>
                <w:id w:val="1927765102"/>
                <w14:checkbox>
                  <w14:checked w14:val="1"/>
                  <w14:checkedState w14:val="2612" w14:font="MS Gothic"/>
                  <w14:uncheckedState w14:val="2610" w14:font="MS Gothic"/>
                </w14:checkbox>
              </w:sdtPr>
              <w:sdtEndPr/>
              <w:sdtContent>
                <w:r w:rsidR="00830658">
                  <w:rPr>
                    <w:rFonts w:ascii="MS Gothic" w:eastAsia="MS Gothic" w:hAnsi="MS Gothic" w:hint="eastAsia"/>
                    <w:sz w:val="16"/>
                  </w:rPr>
                  <w:t>☒</w:t>
                </w:r>
              </w:sdtContent>
            </w:sdt>
            <w:r w:rsidR="003F205A" w:rsidRPr="00AB534E">
              <w:rPr>
                <w:sz w:val="16"/>
              </w:rPr>
              <w:t xml:space="preserve"> Ed/Innovation/Efficiency</w:t>
            </w:r>
          </w:p>
          <w:p w:rsidR="003F205A" w:rsidRDefault="00B02586" w:rsidP="00A95031">
            <w:pPr>
              <w:tabs>
                <w:tab w:val="left" w:pos="360"/>
              </w:tabs>
              <w:spacing w:line="480" w:lineRule="auto"/>
              <w:rPr>
                <w:sz w:val="16"/>
              </w:rPr>
            </w:pPr>
            <w:sdt>
              <w:sdtPr>
                <w:rPr>
                  <w:sz w:val="16"/>
                </w:rPr>
                <w:id w:val="1066449573"/>
                <w14:checkbox>
                  <w14:checked w14:val="0"/>
                  <w14:checkedState w14:val="2612" w14:font="MS Gothic"/>
                  <w14:uncheckedState w14:val="2610" w14:font="MS Gothic"/>
                </w14:checkbox>
              </w:sdtPr>
              <w:sdtEndPr/>
              <w:sdtContent>
                <w:r w:rsidR="003F205A">
                  <w:rPr>
                    <w:rFonts w:ascii="MS Gothic" w:eastAsia="MS Gothic" w:hAnsi="MS Gothic" w:hint="eastAsia"/>
                    <w:sz w:val="16"/>
                  </w:rPr>
                  <w:t>☐</w:t>
                </w:r>
              </w:sdtContent>
            </w:sdt>
            <w:r w:rsidR="003F205A" w:rsidRPr="00AB534E">
              <w:rPr>
                <w:sz w:val="16"/>
              </w:rPr>
              <w:t xml:space="preserve"> Supply/Demand</w:t>
            </w:r>
          </w:p>
          <w:p w:rsidR="00E935DF" w:rsidRDefault="00B02586" w:rsidP="00A95031">
            <w:pPr>
              <w:tabs>
                <w:tab w:val="left" w:pos="360"/>
              </w:tabs>
              <w:spacing w:line="480" w:lineRule="auto"/>
            </w:pPr>
            <w:sdt>
              <w:sdtPr>
                <w:rPr>
                  <w:sz w:val="16"/>
                </w:rPr>
                <w:id w:val="443343713"/>
                <w14:checkbox>
                  <w14:checked w14:val="1"/>
                  <w14:checkedState w14:val="2612" w14:font="MS Gothic"/>
                  <w14:uncheckedState w14:val="2610" w14:font="MS Gothic"/>
                </w14:checkbox>
              </w:sdtPr>
              <w:sdtEndPr/>
              <w:sdtContent>
                <w:r w:rsidR="00830658">
                  <w:rPr>
                    <w:rFonts w:ascii="MS Gothic" w:eastAsia="MS Gothic" w:hAnsi="MS Gothic" w:hint="eastAsia"/>
                    <w:sz w:val="16"/>
                  </w:rPr>
                  <w:t>☒</w:t>
                </w:r>
              </w:sdtContent>
            </w:sdt>
            <w:r w:rsidR="00E935DF" w:rsidRPr="00AB534E">
              <w:rPr>
                <w:sz w:val="16"/>
              </w:rPr>
              <w:t xml:space="preserve"> </w:t>
            </w:r>
            <w:r w:rsidR="00E935DF">
              <w:rPr>
                <w:sz w:val="16"/>
              </w:rPr>
              <w:t>Equity &amp; Access</w:t>
            </w:r>
          </w:p>
        </w:tc>
        <w:tc>
          <w:tcPr>
            <w:tcW w:w="12222" w:type="dxa"/>
            <w:gridSpan w:val="2"/>
            <w:tcBorders>
              <w:right w:val="single" w:sz="18" w:space="0" w:color="auto"/>
            </w:tcBorders>
          </w:tcPr>
          <w:p w:rsidR="00AC304D" w:rsidRPr="00B31A9B" w:rsidRDefault="00AC304D" w:rsidP="00AC304D">
            <w:pPr>
              <w:spacing w:line="312" w:lineRule="auto"/>
              <w:rPr>
                <w:b/>
                <w:bCs/>
                <w:sz w:val="20"/>
                <w:szCs w:val="20"/>
                <w:lang w:val="en"/>
              </w:rPr>
            </w:pPr>
            <w:r w:rsidRPr="00B31A9B">
              <w:rPr>
                <w:b/>
                <w:bCs/>
                <w:sz w:val="20"/>
                <w:szCs w:val="20"/>
                <w:lang w:val="en"/>
              </w:rPr>
              <w:t xml:space="preserve">Provide Leadership and Guidance </w:t>
            </w:r>
            <w:r>
              <w:rPr>
                <w:b/>
                <w:bCs/>
                <w:sz w:val="20"/>
                <w:szCs w:val="20"/>
                <w:lang w:val="en"/>
              </w:rPr>
              <w:t>Assessing Programs for Diversity, Equit</w:t>
            </w:r>
            <w:r w:rsidR="007A1EDD">
              <w:rPr>
                <w:b/>
                <w:bCs/>
                <w:sz w:val="20"/>
                <w:szCs w:val="20"/>
                <w:lang w:val="en"/>
              </w:rPr>
              <w:t>y, In</w:t>
            </w:r>
            <w:r w:rsidR="00E837B6">
              <w:rPr>
                <w:b/>
                <w:bCs/>
                <w:sz w:val="20"/>
                <w:szCs w:val="20"/>
                <w:lang w:val="en"/>
              </w:rPr>
              <w:t>clusion, and Accessibility (DEIA</w:t>
            </w:r>
            <w:r w:rsidR="007A1EDD">
              <w:rPr>
                <w:b/>
                <w:bCs/>
                <w:sz w:val="20"/>
                <w:szCs w:val="20"/>
                <w:lang w:val="en"/>
              </w:rPr>
              <w:t>)</w:t>
            </w:r>
          </w:p>
          <w:p w:rsidR="00800BAA" w:rsidRPr="00800BAA" w:rsidRDefault="00800BAA" w:rsidP="00800BAA">
            <w:p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Vital emergency management programs preserve life safety and restore essential services in a community when a disaster occurs. </w:t>
            </w:r>
          </w:p>
          <w:p w:rsidR="00800BAA" w:rsidRDefault="00800BAA" w:rsidP="00800BAA">
            <w:pPr>
              <w:rPr>
                <w:rFonts w:ascii="Times New Roman" w:eastAsia="Times New Roman" w:hAnsi="Times New Roman" w:cs="Times New Roman"/>
                <w:color w:val="0E101A"/>
                <w:sz w:val="24"/>
                <w:szCs w:val="24"/>
              </w:rPr>
            </w:pPr>
          </w:p>
          <w:p w:rsidR="00800BAA" w:rsidRPr="00800BAA" w:rsidRDefault="00800BAA" w:rsidP="00800BAA">
            <w:p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Implicit bias and inequity are present throughout emergency management's structure, procedures, and outcomes. Integrating equity as a core tenet of EM structure is critical to making essential connections and empowering whole community engagement in resilience, preparedness, response, and recovery.  </w:t>
            </w:r>
          </w:p>
          <w:p w:rsidR="00800BAA" w:rsidRPr="00800BAA" w:rsidRDefault="00800BAA" w:rsidP="00800BAA">
            <w:pPr>
              <w:rPr>
                <w:rFonts w:ascii="Times New Roman" w:eastAsia="Times New Roman" w:hAnsi="Times New Roman" w:cs="Times New Roman"/>
                <w:color w:val="0E101A"/>
                <w:sz w:val="24"/>
                <w:szCs w:val="24"/>
              </w:rPr>
            </w:pPr>
          </w:p>
          <w:p w:rsidR="00800BAA" w:rsidRPr="00800BAA" w:rsidRDefault="00800BAA" w:rsidP="00800BAA">
            <w:p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The Center continues working with its Advisory Board to adopt program goals to help the State Board for Community and Technical Colleges (SBCTC) system identify, integrate, apply, and maintain DEIA principles in all Center's Career Pathway Programs curricula. The goal is to significantly improve our education pathway outcomes by analyzing current programs addressing accessibility, diversity, equity, and inclusion at all levels-seismic, institutional, programmatic, and individual. </w:t>
            </w:r>
          </w:p>
          <w:p w:rsidR="00800BAA" w:rsidRPr="00800BAA" w:rsidRDefault="00800BAA" w:rsidP="00800BAA">
            <w:pPr>
              <w:rPr>
                <w:rFonts w:ascii="Times New Roman" w:eastAsia="Times New Roman" w:hAnsi="Times New Roman" w:cs="Times New Roman"/>
                <w:color w:val="0E101A"/>
                <w:sz w:val="24"/>
                <w:szCs w:val="24"/>
              </w:rPr>
            </w:pPr>
          </w:p>
          <w:p w:rsidR="00800BAA" w:rsidRPr="00800BAA" w:rsidRDefault="00800BAA" w:rsidP="00800BAA">
            <w:p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Use an established data dashboard to assess and measure progress.</w:t>
            </w:r>
          </w:p>
          <w:p w:rsidR="00800BAA" w:rsidRPr="00800BAA" w:rsidRDefault="00800BAA" w:rsidP="00800BAA">
            <w:pPr>
              <w:numPr>
                <w:ilvl w:val="0"/>
                <w:numId w:val="12"/>
              </w:num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Use the DEIA framework to inform and integrate.</w:t>
            </w:r>
          </w:p>
          <w:p w:rsidR="00800BAA" w:rsidRPr="00800BAA" w:rsidRDefault="00800BAA" w:rsidP="00800BAA">
            <w:pPr>
              <w:numPr>
                <w:ilvl w:val="0"/>
                <w:numId w:val="12"/>
              </w:num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Participate w/COEs and SBCTC to recruit non-traditional students into the Center's career pathway fields.</w:t>
            </w:r>
          </w:p>
          <w:p w:rsidR="00800BAA" w:rsidRPr="00800BAA" w:rsidRDefault="00800BAA" w:rsidP="00800BAA">
            <w:pPr>
              <w:numPr>
                <w:ilvl w:val="0"/>
                <w:numId w:val="12"/>
              </w:num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Continue to involve COE HSEM Advisory Board sub-committees to identify and implement best practices with all sectors of the profession; government, non-government, public, and private. </w:t>
            </w:r>
          </w:p>
          <w:p w:rsidR="00AC304D" w:rsidRPr="00800BAA" w:rsidRDefault="00800BAA" w:rsidP="00800BAA">
            <w:pPr>
              <w:rPr>
                <w:rFonts w:ascii="Times New Roman" w:eastAsia="Times New Roman" w:hAnsi="Times New Roman" w:cs="Times New Roman"/>
                <w:color w:val="0E101A"/>
                <w:sz w:val="24"/>
                <w:szCs w:val="24"/>
              </w:rPr>
            </w:pPr>
            <w:r w:rsidRPr="00800BAA">
              <w:rPr>
                <w:rFonts w:ascii="Times New Roman" w:eastAsia="Times New Roman" w:hAnsi="Times New Roman" w:cs="Times New Roman"/>
                <w:color w:val="0E101A"/>
                <w:sz w:val="24"/>
                <w:szCs w:val="24"/>
              </w:rPr>
              <w:t>Assess and report on progress for transformative change in EM programs in plans and policies to uncover unconscious and unintentional bias and identify strategies while documenting best practices and areas for improvement.</w:t>
            </w:r>
          </w:p>
          <w:p w:rsidR="003F205A" w:rsidRPr="00A862C1" w:rsidRDefault="003F205A" w:rsidP="0096085B">
            <w:pPr>
              <w:ind w:left="720"/>
              <w:rPr>
                <w:sz w:val="18"/>
              </w:rPr>
            </w:pPr>
          </w:p>
        </w:tc>
      </w:tr>
      <w:tr w:rsidR="003F205A" w:rsidRPr="00720C2F" w:rsidTr="00A95031">
        <w:trPr>
          <w:trHeight w:val="351"/>
        </w:trPr>
        <w:tc>
          <w:tcPr>
            <w:tcW w:w="2448" w:type="dxa"/>
            <w:tcBorders>
              <w:left w:val="single" w:sz="18" w:space="0" w:color="auto"/>
              <w:right w:val="single" w:sz="4" w:space="0" w:color="auto"/>
            </w:tcBorders>
            <w:shd w:val="clear" w:color="auto" w:fill="D9D9D9" w:themeFill="background1" w:themeFillShade="D9"/>
          </w:tcPr>
          <w:p w:rsidR="003F205A" w:rsidRPr="00720C2F" w:rsidRDefault="003F205A" w:rsidP="00A95031">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3F205A" w:rsidRPr="00720C2F" w:rsidRDefault="003F205A" w:rsidP="00A95031">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3F205A" w:rsidRPr="00720C2F" w:rsidRDefault="003F205A" w:rsidP="00A95031">
            <w:pPr>
              <w:spacing w:line="312" w:lineRule="auto"/>
              <w:jc w:val="center"/>
              <w:rPr>
                <w:b/>
              </w:rPr>
            </w:pPr>
            <w:r w:rsidRPr="00720C2F">
              <w:rPr>
                <w:b/>
              </w:rPr>
              <w:t>Projected Outcomes and Products</w:t>
            </w:r>
          </w:p>
        </w:tc>
      </w:tr>
      <w:tr w:rsidR="003F205A" w:rsidRPr="0032461E" w:rsidTr="00A95031">
        <w:trPr>
          <w:trHeight w:val="351"/>
        </w:trPr>
        <w:tc>
          <w:tcPr>
            <w:tcW w:w="2448" w:type="dxa"/>
            <w:tcBorders>
              <w:left w:val="single" w:sz="18" w:space="0" w:color="auto"/>
              <w:bottom w:val="single" w:sz="18" w:space="0" w:color="auto"/>
              <w:right w:val="single" w:sz="4" w:space="0" w:color="auto"/>
            </w:tcBorders>
          </w:tcPr>
          <w:p w:rsidR="00830658" w:rsidRPr="00A862C1" w:rsidRDefault="00830658" w:rsidP="00A95031">
            <w:pPr>
              <w:tabs>
                <w:tab w:val="left" w:pos="360"/>
              </w:tabs>
              <w:spacing w:line="312" w:lineRule="auto"/>
              <w:rPr>
                <w:sz w:val="18"/>
                <w:szCs w:val="18"/>
              </w:rPr>
            </w:pPr>
            <w:r>
              <w:rPr>
                <w:sz w:val="18"/>
                <w:szCs w:val="18"/>
              </w:rPr>
              <w:t xml:space="preserve">COE 100% Allocation </w:t>
            </w:r>
          </w:p>
        </w:tc>
        <w:tc>
          <w:tcPr>
            <w:tcW w:w="6245" w:type="dxa"/>
            <w:tcBorders>
              <w:left w:val="single" w:sz="4" w:space="0" w:color="auto"/>
              <w:bottom w:val="single" w:sz="18" w:space="0" w:color="auto"/>
            </w:tcBorders>
          </w:tcPr>
          <w:p w:rsidR="00216F16" w:rsidRPr="00216F16" w:rsidRDefault="00216F16" w:rsidP="00216F16">
            <w:pPr>
              <w:rPr>
                <w:rFonts w:ascii="Times New Roman" w:eastAsia="Times New Roman" w:hAnsi="Times New Roman" w:cs="Times New Roman"/>
                <w:color w:val="0E101A"/>
                <w:sz w:val="24"/>
                <w:szCs w:val="24"/>
              </w:rPr>
            </w:pPr>
            <w:r w:rsidRPr="00216F16">
              <w:rPr>
                <w:rFonts w:ascii="Times New Roman" w:eastAsia="Times New Roman" w:hAnsi="Times New Roman" w:cs="Times New Roman"/>
                <w:color w:val="0E101A"/>
                <w:sz w:val="24"/>
                <w:szCs w:val="24"/>
              </w:rPr>
              <w:t>Continue to support the CTC system in building a solid and diverse advisory board to ensure relevant and current programs responsive to the industry. </w:t>
            </w:r>
          </w:p>
          <w:p w:rsidR="00216F16" w:rsidRPr="00216F16" w:rsidRDefault="00216F16" w:rsidP="00216F16">
            <w:pPr>
              <w:rPr>
                <w:rFonts w:ascii="Times New Roman" w:eastAsia="Times New Roman" w:hAnsi="Times New Roman" w:cs="Times New Roman"/>
                <w:color w:val="0E101A"/>
                <w:sz w:val="24"/>
                <w:szCs w:val="24"/>
              </w:rPr>
            </w:pPr>
          </w:p>
          <w:p w:rsidR="00216F16" w:rsidRPr="00216F16" w:rsidRDefault="00216F16" w:rsidP="00216F16">
            <w:pPr>
              <w:rPr>
                <w:rFonts w:ascii="Times New Roman" w:eastAsia="Times New Roman" w:hAnsi="Times New Roman" w:cs="Times New Roman"/>
                <w:color w:val="0E101A"/>
                <w:sz w:val="24"/>
                <w:szCs w:val="24"/>
              </w:rPr>
            </w:pPr>
            <w:r w:rsidRPr="00216F16">
              <w:rPr>
                <w:rFonts w:ascii="Times New Roman" w:eastAsia="Times New Roman" w:hAnsi="Times New Roman" w:cs="Times New Roman"/>
                <w:color w:val="0E101A"/>
                <w:sz w:val="24"/>
                <w:szCs w:val="24"/>
              </w:rPr>
              <w:t>Reviewing current career pathway programs' curricula reduces implicit bias and social equity issues.</w:t>
            </w:r>
          </w:p>
          <w:p w:rsidR="00216F16" w:rsidRPr="00216F16" w:rsidRDefault="00216F16" w:rsidP="00216F16">
            <w:pPr>
              <w:rPr>
                <w:rFonts w:ascii="Times New Roman" w:eastAsia="Times New Roman" w:hAnsi="Times New Roman" w:cs="Times New Roman"/>
                <w:color w:val="0E101A"/>
                <w:sz w:val="24"/>
                <w:szCs w:val="24"/>
              </w:rPr>
            </w:pPr>
            <w:r w:rsidRPr="00216F16">
              <w:rPr>
                <w:rFonts w:ascii="Times New Roman" w:eastAsia="Times New Roman" w:hAnsi="Times New Roman" w:cs="Times New Roman"/>
                <w:color w:val="0E101A"/>
                <w:sz w:val="24"/>
                <w:szCs w:val="24"/>
              </w:rPr>
              <w:lastRenderedPageBreak/>
              <w:t>Identify and implement outreach activities that support DEIA in the career fields.</w:t>
            </w:r>
          </w:p>
          <w:p w:rsidR="00216F16" w:rsidRPr="00216F16" w:rsidRDefault="00216F16" w:rsidP="00216F16">
            <w:pPr>
              <w:rPr>
                <w:rFonts w:ascii="Times New Roman" w:eastAsia="Times New Roman" w:hAnsi="Times New Roman" w:cs="Times New Roman"/>
                <w:color w:val="0E101A"/>
                <w:sz w:val="24"/>
                <w:szCs w:val="24"/>
              </w:rPr>
            </w:pPr>
          </w:p>
          <w:p w:rsidR="00216F16" w:rsidRPr="00216F16" w:rsidRDefault="004454E1" w:rsidP="00216F1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Utilize the </w:t>
            </w:r>
            <w:r w:rsidR="00216F16" w:rsidRPr="00216F16">
              <w:rPr>
                <w:rFonts w:ascii="Times New Roman" w:eastAsia="Times New Roman" w:hAnsi="Times New Roman" w:cs="Times New Roman"/>
                <w:color w:val="0E101A"/>
                <w:sz w:val="24"/>
                <w:szCs w:val="24"/>
              </w:rPr>
              <w:t>data dashboard to assess and measure progress</w:t>
            </w:r>
            <w:r w:rsidR="009E4B40">
              <w:rPr>
                <w:rFonts w:ascii="Times New Roman" w:eastAsia="Times New Roman" w:hAnsi="Times New Roman" w:cs="Times New Roman"/>
                <w:color w:val="0E101A"/>
                <w:sz w:val="24"/>
                <w:szCs w:val="24"/>
              </w:rPr>
              <w:t xml:space="preserve"> quarterly</w:t>
            </w:r>
            <w:r w:rsidR="00216F16" w:rsidRPr="00216F16">
              <w:rPr>
                <w:rFonts w:ascii="Times New Roman" w:eastAsia="Times New Roman" w:hAnsi="Times New Roman" w:cs="Times New Roman"/>
                <w:color w:val="0E101A"/>
                <w:sz w:val="24"/>
                <w:szCs w:val="24"/>
              </w:rPr>
              <w:t>.</w:t>
            </w:r>
          </w:p>
          <w:p w:rsidR="00216F16" w:rsidRPr="00216F16" w:rsidRDefault="008D3BE5" w:rsidP="00216F16">
            <w:pPr>
              <w:numPr>
                <w:ilvl w:val="0"/>
                <w:numId w:val="13"/>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Participate with </w:t>
            </w:r>
            <w:r w:rsidR="00216F16" w:rsidRPr="00216F16">
              <w:rPr>
                <w:rFonts w:ascii="Times New Roman" w:eastAsia="Times New Roman" w:hAnsi="Times New Roman" w:cs="Times New Roman"/>
                <w:color w:val="0E101A"/>
                <w:sz w:val="24"/>
                <w:szCs w:val="24"/>
              </w:rPr>
              <w:t>COEs and SBCTC to recruit non-traditional students into the Center's career pathway fields.</w:t>
            </w:r>
          </w:p>
          <w:p w:rsidR="00216F16" w:rsidRPr="00216F16" w:rsidRDefault="00216F16" w:rsidP="00216F16">
            <w:pPr>
              <w:numPr>
                <w:ilvl w:val="0"/>
                <w:numId w:val="13"/>
              </w:numPr>
              <w:rPr>
                <w:rFonts w:ascii="Times New Roman" w:eastAsia="Times New Roman" w:hAnsi="Times New Roman" w:cs="Times New Roman"/>
                <w:color w:val="0E101A"/>
                <w:sz w:val="24"/>
                <w:szCs w:val="24"/>
              </w:rPr>
            </w:pPr>
            <w:r w:rsidRPr="00216F16">
              <w:rPr>
                <w:rFonts w:ascii="Times New Roman" w:eastAsia="Times New Roman" w:hAnsi="Times New Roman" w:cs="Times New Roman"/>
                <w:color w:val="0E101A"/>
                <w:sz w:val="24"/>
                <w:szCs w:val="24"/>
              </w:rPr>
              <w:t>Assess and report on progress to include the Data Pilot </w:t>
            </w:r>
          </w:p>
          <w:p w:rsidR="003F205A" w:rsidRPr="00A862C1" w:rsidRDefault="003F205A" w:rsidP="00A95031">
            <w:pPr>
              <w:spacing w:line="312" w:lineRule="auto"/>
              <w:rPr>
                <w:sz w:val="18"/>
                <w:szCs w:val="18"/>
              </w:rPr>
            </w:pPr>
          </w:p>
        </w:tc>
        <w:tc>
          <w:tcPr>
            <w:tcW w:w="5977" w:type="dxa"/>
            <w:tcBorders>
              <w:bottom w:val="single" w:sz="18" w:space="0" w:color="auto"/>
              <w:right w:val="single" w:sz="18" w:space="0" w:color="auto"/>
            </w:tcBorders>
          </w:tcPr>
          <w:p w:rsidR="00767D92" w:rsidRPr="002F7C87" w:rsidRDefault="00767D92" w:rsidP="002F7C87">
            <w:pPr>
              <w:pStyle w:val="ListParagraph"/>
              <w:numPr>
                <w:ilvl w:val="0"/>
                <w:numId w:val="18"/>
              </w:numPr>
              <w:rPr>
                <w:rFonts w:ascii="Times New Roman" w:hAnsi="Times New Roman" w:cs="Times New Roman"/>
                <w:sz w:val="24"/>
                <w:szCs w:val="18"/>
              </w:rPr>
            </w:pPr>
            <w:r w:rsidRPr="002F7C87">
              <w:rPr>
                <w:rFonts w:ascii="Times New Roman" w:hAnsi="Times New Roman" w:cs="Times New Roman"/>
                <w:sz w:val="24"/>
                <w:szCs w:val="18"/>
              </w:rPr>
              <w:lastRenderedPageBreak/>
              <w:t xml:space="preserve">DEIA initiative </w:t>
            </w:r>
            <w:r w:rsidR="00E850B9">
              <w:rPr>
                <w:rFonts w:ascii="Times New Roman" w:hAnsi="Times New Roman" w:cs="Times New Roman"/>
                <w:sz w:val="24"/>
                <w:szCs w:val="18"/>
              </w:rPr>
              <w:t xml:space="preserve">will connect </w:t>
            </w:r>
            <w:r w:rsidRPr="002F7C87">
              <w:rPr>
                <w:rFonts w:ascii="Times New Roman" w:hAnsi="Times New Roman" w:cs="Times New Roman"/>
                <w:sz w:val="24"/>
                <w:szCs w:val="18"/>
              </w:rPr>
              <w:t>with the Women in Business Continuity organization by working with the Center’s Advisory Board</w:t>
            </w:r>
            <w:r w:rsidR="00E850B9">
              <w:rPr>
                <w:rFonts w:ascii="Times New Roman" w:hAnsi="Times New Roman" w:cs="Times New Roman"/>
                <w:sz w:val="24"/>
                <w:szCs w:val="18"/>
              </w:rPr>
              <w:t>’s</w:t>
            </w:r>
            <w:r w:rsidRPr="002F7C87">
              <w:rPr>
                <w:rFonts w:ascii="Times New Roman" w:hAnsi="Times New Roman" w:cs="Times New Roman"/>
                <w:sz w:val="24"/>
                <w:szCs w:val="18"/>
              </w:rPr>
              <w:t xml:space="preserve"> DEIA sub-committee. Florence Moss, a Women in Business Continuity organization member, will be asked to join as a Center Advisory Board Member and work with the Advisory </w:t>
            </w:r>
            <w:r w:rsidRPr="002F7C87">
              <w:rPr>
                <w:rFonts w:ascii="Times New Roman" w:hAnsi="Times New Roman" w:cs="Times New Roman"/>
                <w:sz w:val="24"/>
                <w:szCs w:val="18"/>
              </w:rPr>
              <w:lastRenderedPageBreak/>
              <w:t xml:space="preserve">Board DEIA sub-committee. </w:t>
            </w:r>
            <w:r w:rsidR="00E850B9">
              <w:rPr>
                <w:rFonts w:ascii="Times New Roman" w:hAnsi="Times New Roman" w:cs="Times New Roman"/>
                <w:sz w:val="24"/>
                <w:szCs w:val="18"/>
              </w:rPr>
              <w:t xml:space="preserve">  The Sub-</w:t>
            </w:r>
            <w:r w:rsidR="002769CA">
              <w:rPr>
                <w:rFonts w:ascii="Times New Roman" w:hAnsi="Times New Roman" w:cs="Times New Roman"/>
                <w:sz w:val="24"/>
                <w:szCs w:val="18"/>
              </w:rPr>
              <w:t>Committee will</w:t>
            </w:r>
            <w:r w:rsidR="00E850B9">
              <w:rPr>
                <w:rFonts w:ascii="Times New Roman" w:hAnsi="Times New Roman" w:cs="Times New Roman"/>
                <w:sz w:val="24"/>
                <w:szCs w:val="18"/>
              </w:rPr>
              <w:t xml:space="preserve"> review the current Sub-Committee Work Plan and revise</w:t>
            </w:r>
            <w:r w:rsidR="008D3BE5">
              <w:rPr>
                <w:rFonts w:ascii="Times New Roman" w:hAnsi="Times New Roman" w:cs="Times New Roman"/>
                <w:sz w:val="24"/>
                <w:szCs w:val="18"/>
              </w:rPr>
              <w:t xml:space="preserve"> it</w:t>
            </w:r>
            <w:r w:rsidR="00E850B9">
              <w:rPr>
                <w:rFonts w:ascii="Times New Roman" w:hAnsi="Times New Roman" w:cs="Times New Roman"/>
                <w:sz w:val="24"/>
                <w:szCs w:val="18"/>
              </w:rPr>
              <w:t xml:space="preserve"> as needed.  </w:t>
            </w:r>
            <w:r w:rsidRPr="002F7C87">
              <w:rPr>
                <w:rFonts w:ascii="Times New Roman" w:hAnsi="Times New Roman" w:cs="Times New Roman"/>
                <w:sz w:val="24"/>
                <w:szCs w:val="18"/>
              </w:rPr>
              <w:t xml:space="preserve">To be completed by 1st quarter.  </w:t>
            </w:r>
          </w:p>
          <w:p w:rsidR="00767D92" w:rsidRPr="00767D92" w:rsidRDefault="00767D92" w:rsidP="0069185E">
            <w:pPr>
              <w:rPr>
                <w:rFonts w:ascii="Times New Roman" w:hAnsi="Times New Roman" w:cs="Times New Roman"/>
                <w:sz w:val="24"/>
                <w:szCs w:val="18"/>
              </w:rPr>
            </w:pPr>
          </w:p>
          <w:p w:rsidR="00767D92" w:rsidRPr="002F7C87" w:rsidRDefault="00767D92" w:rsidP="002F7C87">
            <w:pPr>
              <w:pStyle w:val="ListParagraph"/>
              <w:numPr>
                <w:ilvl w:val="0"/>
                <w:numId w:val="18"/>
              </w:numPr>
              <w:rPr>
                <w:rFonts w:ascii="Times New Roman" w:hAnsi="Times New Roman" w:cs="Times New Roman"/>
                <w:sz w:val="24"/>
                <w:szCs w:val="18"/>
              </w:rPr>
            </w:pPr>
            <w:r w:rsidRPr="002F7C87">
              <w:rPr>
                <w:rFonts w:ascii="Times New Roman" w:hAnsi="Times New Roman" w:cs="Times New Roman"/>
                <w:sz w:val="24"/>
                <w:szCs w:val="18"/>
              </w:rPr>
              <w:t xml:space="preserve">Continue to utilize the Project Management Tracking System/Dashboard </w:t>
            </w:r>
            <w:r w:rsidR="00473F2F">
              <w:rPr>
                <w:rFonts w:ascii="Times New Roman" w:hAnsi="Times New Roman" w:cs="Times New Roman"/>
                <w:sz w:val="24"/>
                <w:szCs w:val="18"/>
              </w:rPr>
              <w:t>established</w:t>
            </w:r>
            <w:r w:rsidRPr="002F7C87">
              <w:rPr>
                <w:rFonts w:ascii="Times New Roman" w:hAnsi="Times New Roman" w:cs="Times New Roman"/>
                <w:sz w:val="24"/>
                <w:szCs w:val="18"/>
              </w:rPr>
              <w:t xml:space="preserve"> by the DEIA sub-committee to track outcomes/products. Quarterly reports completed.</w:t>
            </w:r>
          </w:p>
          <w:p w:rsidR="00767D92" w:rsidRPr="00767D92" w:rsidRDefault="00767D92" w:rsidP="0069185E">
            <w:pPr>
              <w:rPr>
                <w:rFonts w:ascii="Times New Roman" w:hAnsi="Times New Roman" w:cs="Times New Roman"/>
                <w:sz w:val="24"/>
                <w:szCs w:val="18"/>
              </w:rPr>
            </w:pPr>
          </w:p>
          <w:p w:rsidR="00262A19" w:rsidRPr="002F7C87" w:rsidRDefault="008D3BE5" w:rsidP="002F7C87">
            <w:pPr>
              <w:pStyle w:val="ListParagraph"/>
              <w:numPr>
                <w:ilvl w:val="0"/>
                <w:numId w:val="18"/>
              </w:numPr>
              <w:rPr>
                <w:sz w:val="18"/>
                <w:szCs w:val="18"/>
              </w:rPr>
            </w:pPr>
            <w:r>
              <w:rPr>
                <w:rFonts w:ascii="Times New Roman" w:hAnsi="Times New Roman" w:cs="Times New Roman"/>
                <w:sz w:val="24"/>
                <w:szCs w:val="18"/>
              </w:rPr>
              <w:t>Current 11-</w:t>
            </w:r>
            <w:r w:rsidR="00CE522D">
              <w:rPr>
                <w:rFonts w:ascii="Times New Roman" w:hAnsi="Times New Roman" w:cs="Times New Roman"/>
                <w:sz w:val="24"/>
                <w:szCs w:val="18"/>
              </w:rPr>
              <w:t>member</w:t>
            </w:r>
            <w:r w:rsidR="00767D92" w:rsidRPr="002F7C87">
              <w:rPr>
                <w:rFonts w:ascii="Times New Roman" w:hAnsi="Times New Roman" w:cs="Times New Roman"/>
                <w:sz w:val="24"/>
                <w:szCs w:val="18"/>
              </w:rPr>
              <w:t xml:space="preserve"> workgroup of Center B</w:t>
            </w:r>
            <w:r w:rsidR="00CE522D">
              <w:rPr>
                <w:rFonts w:ascii="Times New Roman" w:hAnsi="Times New Roman" w:cs="Times New Roman"/>
                <w:sz w:val="24"/>
                <w:szCs w:val="18"/>
              </w:rPr>
              <w:t>oard an</w:t>
            </w:r>
            <w:r>
              <w:rPr>
                <w:rFonts w:ascii="Times New Roman" w:hAnsi="Times New Roman" w:cs="Times New Roman"/>
                <w:sz w:val="24"/>
                <w:szCs w:val="18"/>
              </w:rPr>
              <w:t>d Senior Fellow members along with organizations</w:t>
            </w:r>
            <w:r w:rsidR="00767D92" w:rsidRPr="002F7C87">
              <w:rPr>
                <w:rFonts w:ascii="Times New Roman" w:hAnsi="Times New Roman" w:cs="Times New Roman"/>
                <w:sz w:val="24"/>
                <w:szCs w:val="18"/>
              </w:rPr>
              <w:t xml:space="preserve"> and groups with DEIA expertise will develop a curriculum/course for a Certificate in Accessible and Equitable Emergency Management (Risk, Crisis and Continuity Management). To be completed by 3rd quarter.</w:t>
            </w:r>
            <w:r w:rsidR="00767D92" w:rsidRPr="002F7C87">
              <w:rPr>
                <w:sz w:val="24"/>
                <w:szCs w:val="18"/>
              </w:rPr>
              <w:t xml:space="preserve">  </w:t>
            </w:r>
          </w:p>
        </w:tc>
      </w:tr>
      <w:tr w:rsidR="003F205A" w:rsidRPr="00720C2F" w:rsidTr="00A95031">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3F205A" w:rsidRPr="00720C2F" w:rsidRDefault="003F205A" w:rsidP="00A95031">
            <w:pPr>
              <w:spacing w:line="312" w:lineRule="auto"/>
              <w:jc w:val="center"/>
              <w:rPr>
                <w:b/>
              </w:rPr>
            </w:pPr>
            <w:r w:rsidRPr="00720C2F">
              <w:rPr>
                <w:b/>
              </w:rPr>
              <w:lastRenderedPageBreak/>
              <w:t xml:space="preserve">Report </w:t>
            </w:r>
            <w:r w:rsidR="000427D3">
              <w:rPr>
                <w:b/>
              </w:rPr>
              <w:t xml:space="preserve">and Analysis </w:t>
            </w:r>
            <w:r w:rsidRPr="00720C2F">
              <w:rPr>
                <w:b/>
              </w:rPr>
              <w:t>on Actual Outcomes and Products</w:t>
            </w:r>
          </w:p>
        </w:tc>
      </w:tr>
      <w:tr w:rsidR="003F205A"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3F205A" w:rsidRPr="00720C2F" w:rsidRDefault="003F205A" w:rsidP="00A95031">
            <w:pPr>
              <w:rPr>
                <w:b/>
              </w:rPr>
            </w:pPr>
            <w:r w:rsidRPr="00720C2F">
              <w:rPr>
                <w:b/>
              </w:rPr>
              <w:t>Quarter 1</w:t>
            </w:r>
          </w:p>
        </w:tc>
        <w:tc>
          <w:tcPr>
            <w:tcW w:w="12222" w:type="dxa"/>
            <w:gridSpan w:val="2"/>
            <w:tcBorders>
              <w:left w:val="single" w:sz="4" w:space="0" w:color="auto"/>
              <w:right w:val="single" w:sz="18" w:space="0" w:color="auto"/>
            </w:tcBorders>
            <w:vAlign w:val="center"/>
          </w:tcPr>
          <w:p w:rsidR="003F205A" w:rsidRPr="00A862C1" w:rsidRDefault="003F205A" w:rsidP="00A95031">
            <w:pPr>
              <w:spacing w:line="312" w:lineRule="auto"/>
              <w:rPr>
                <w:sz w:val="18"/>
              </w:rPr>
            </w:pPr>
          </w:p>
        </w:tc>
      </w:tr>
      <w:tr w:rsidR="003F205A"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3F205A" w:rsidRPr="00720C2F" w:rsidRDefault="003F205A" w:rsidP="00A95031">
            <w:pPr>
              <w:rPr>
                <w:b/>
              </w:rPr>
            </w:pPr>
            <w:r w:rsidRPr="00720C2F">
              <w:rPr>
                <w:b/>
              </w:rPr>
              <w:t>Quarter 2</w:t>
            </w:r>
          </w:p>
        </w:tc>
        <w:tc>
          <w:tcPr>
            <w:tcW w:w="12222" w:type="dxa"/>
            <w:gridSpan w:val="2"/>
            <w:tcBorders>
              <w:left w:val="single" w:sz="4" w:space="0" w:color="auto"/>
              <w:right w:val="single" w:sz="18" w:space="0" w:color="auto"/>
            </w:tcBorders>
            <w:vAlign w:val="center"/>
          </w:tcPr>
          <w:p w:rsidR="003F205A" w:rsidRPr="00A862C1" w:rsidRDefault="003F205A" w:rsidP="00A95031">
            <w:pPr>
              <w:spacing w:line="312" w:lineRule="auto"/>
              <w:rPr>
                <w:sz w:val="18"/>
              </w:rPr>
            </w:pPr>
          </w:p>
        </w:tc>
      </w:tr>
      <w:tr w:rsidR="003F205A" w:rsidTr="00A95031">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3F205A" w:rsidRPr="00720C2F" w:rsidRDefault="003F205A" w:rsidP="00A95031">
            <w:pPr>
              <w:rPr>
                <w:b/>
              </w:rPr>
            </w:pPr>
            <w:r w:rsidRPr="00720C2F">
              <w:rPr>
                <w:b/>
              </w:rPr>
              <w:t>Quarter 3</w:t>
            </w:r>
          </w:p>
        </w:tc>
        <w:tc>
          <w:tcPr>
            <w:tcW w:w="12222" w:type="dxa"/>
            <w:gridSpan w:val="2"/>
            <w:tcBorders>
              <w:left w:val="single" w:sz="4" w:space="0" w:color="auto"/>
              <w:right w:val="single" w:sz="18" w:space="0" w:color="auto"/>
            </w:tcBorders>
            <w:vAlign w:val="center"/>
          </w:tcPr>
          <w:p w:rsidR="003F205A" w:rsidRPr="00A862C1" w:rsidRDefault="003F205A" w:rsidP="00A95031">
            <w:pPr>
              <w:spacing w:line="312" w:lineRule="auto"/>
              <w:rPr>
                <w:sz w:val="18"/>
              </w:rPr>
            </w:pPr>
          </w:p>
        </w:tc>
      </w:tr>
      <w:tr w:rsidR="003F205A" w:rsidTr="00767D92">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3F205A" w:rsidRPr="00720C2F" w:rsidRDefault="003F205A" w:rsidP="00A95031">
            <w:pPr>
              <w:rPr>
                <w:b/>
              </w:rPr>
            </w:pPr>
            <w:r w:rsidRPr="00720C2F">
              <w:rPr>
                <w:b/>
              </w:rPr>
              <w:t>Quarter 4</w:t>
            </w:r>
          </w:p>
        </w:tc>
        <w:tc>
          <w:tcPr>
            <w:tcW w:w="12222" w:type="dxa"/>
            <w:gridSpan w:val="2"/>
            <w:tcBorders>
              <w:left w:val="single" w:sz="4" w:space="0" w:color="auto"/>
              <w:right w:val="single" w:sz="18" w:space="0" w:color="auto"/>
            </w:tcBorders>
            <w:vAlign w:val="center"/>
          </w:tcPr>
          <w:p w:rsidR="003F205A" w:rsidRPr="00A862C1" w:rsidRDefault="003F205A" w:rsidP="00A95031">
            <w:pPr>
              <w:spacing w:line="312" w:lineRule="auto"/>
              <w:rPr>
                <w:sz w:val="18"/>
              </w:rPr>
            </w:pPr>
          </w:p>
        </w:tc>
      </w:tr>
      <w:tr w:rsidR="00767D92" w:rsidTr="00767D92">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67D92" w:rsidRPr="00720C2F" w:rsidRDefault="00767D92" w:rsidP="00A95031">
            <w:pPr>
              <w:rPr>
                <w:b/>
              </w:rPr>
            </w:pPr>
            <w:r>
              <w:rPr>
                <w:b/>
              </w:rPr>
              <w:t>Analysis Q1</w:t>
            </w:r>
          </w:p>
        </w:tc>
        <w:tc>
          <w:tcPr>
            <w:tcW w:w="12222" w:type="dxa"/>
            <w:gridSpan w:val="2"/>
            <w:tcBorders>
              <w:left w:val="single" w:sz="4" w:space="0" w:color="auto"/>
              <w:right w:val="single" w:sz="18" w:space="0" w:color="auto"/>
            </w:tcBorders>
            <w:vAlign w:val="center"/>
          </w:tcPr>
          <w:p w:rsidR="00767D92" w:rsidRPr="00A862C1" w:rsidRDefault="00767D92" w:rsidP="00A95031">
            <w:pPr>
              <w:spacing w:line="312" w:lineRule="auto"/>
              <w:rPr>
                <w:sz w:val="18"/>
              </w:rPr>
            </w:pPr>
          </w:p>
        </w:tc>
      </w:tr>
      <w:tr w:rsidR="00767D92" w:rsidTr="00767D92">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67D92" w:rsidRDefault="00767D92" w:rsidP="00A95031">
            <w:pPr>
              <w:rPr>
                <w:b/>
              </w:rPr>
            </w:pPr>
            <w:r>
              <w:rPr>
                <w:b/>
              </w:rPr>
              <w:t>Analysis Q2</w:t>
            </w:r>
          </w:p>
        </w:tc>
        <w:tc>
          <w:tcPr>
            <w:tcW w:w="12222" w:type="dxa"/>
            <w:gridSpan w:val="2"/>
            <w:tcBorders>
              <w:left w:val="single" w:sz="4" w:space="0" w:color="auto"/>
              <w:right w:val="single" w:sz="18" w:space="0" w:color="auto"/>
            </w:tcBorders>
            <w:vAlign w:val="center"/>
          </w:tcPr>
          <w:p w:rsidR="00767D92" w:rsidRPr="00A862C1" w:rsidRDefault="00767D92" w:rsidP="00A95031">
            <w:pPr>
              <w:spacing w:line="312" w:lineRule="auto"/>
              <w:rPr>
                <w:sz w:val="18"/>
              </w:rPr>
            </w:pPr>
          </w:p>
        </w:tc>
      </w:tr>
      <w:tr w:rsidR="00767D92" w:rsidTr="00767D92">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67D92" w:rsidRDefault="00767D92" w:rsidP="00A95031">
            <w:pPr>
              <w:rPr>
                <w:b/>
              </w:rPr>
            </w:pPr>
            <w:r>
              <w:rPr>
                <w:b/>
              </w:rPr>
              <w:t>Analysis Q3</w:t>
            </w:r>
          </w:p>
        </w:tc>
        <w:tc>
          <w:tcPr>
            <w:tcW w:w="12222" w:type="dxa"/>
            <w:gridSpan w:val="2"/>
            <w:tcBorders>
              <w:left w:val="single" w:sz="4" w:space="0" w:color="auto"/>
              <w:right w:val="single" w:sz="18" w:space="0" w:color="auto"/>
            </w:tcBorders>
            <w:vAlign w:val="center"/>
          </w:tcPr>
          <w:p w:rsidR="00767D92" w:rsidRPr="00A862C1" w:rsidRDefault="00767D92" w:rsidP="00A95031">
            <w:pPr>
              <w:spacing w:line="312" w:lineRule="auto"/>
              <w:rPr>
                <w:sz w:val="18"/>
              </w:rPr>
            </w:pPr>
          </w:p>
        </w:tc>
      </w:tr>
      <w:tr w:rsidR="00767D92" w:rsidTr="00A95031">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67D92" w:rsidRDefault="00767D92" w:rsidP="00A95031">
            <w:pPr>
              <w:rPr>
                <w:b/>
              </w:rPr>
            </w:pPr>
            <w:r>
              <w:rPr>
                <w:b/>
              </w:rPr>
              <w:t>Analysis Q4</w:t>
            </w:r>
          </w:p>
        </w:tc>
        <w:tc>
          <w:tcPr>
            <w:tcW w:w="12222" w:type="dxa"/>
            <w:gridSpan w:val="2"/>
            <w:tcBorders>
              <w:left w:val="single" w:sz="4" w:space="0" w:color="auto"/>
              <w:bottom w:val="single" w:sz="4" w:space="0" w:color="auto"/>
              <w:right w:val="single" w:sz="18" w:space="0" w:color="auto"/>
            </w:tcBorders>
            <w:vAlign w:val="center"/>
          </w:tcPr>
          <w:p w:rsidR="00767D92" w:rsidRPr="00A862C1" w:rsidRDefault="00767D92" w:rsidP="00A95031">
            <w:pPr>
              <w:spacing w:line="312" w:lineRule="auto"/>
              <w:rPr>
                <w:sz w:val="18"/>
              </w:rPr>
            </w:pPr>
          </w:p>
        </w:tc>
      </w:tr>
    </w:tbl>
    <w:p w:rsidR="003F205A" w:rsidRDefault="003F205A"/>
    <w:tbl>
      <w:tblPr>
        <w:tblStyle w:val="TableGrid"/>
        <w:tblW w:w="14892" w:type="dxa"/>
        <w:tblCellMar>
          <w:top w:w="115" w:type="dxa"/>
          <w:left w:w="115" w:type="dxa"/>
          <w:bottom w:w="115" w:type="dxa"/>
          <w:right w:w="115" w:type="dxa"/>
        </w:tblCellMar>
        <w:tblLook w:val="04A0" w:firstRow="1" w:lastRow="0" w:firstColumn="1" w:lastColumn="0" w:noHBand="0" w:noVBand="1"/>
      </w:tblPr>
      <w:tblGrid>
        <w:gridCol w:w="2448"/>
        <w:gridCol w:w="6245"/>
        <w:gridCol w:w="5839"/>
        <w:gridCol w:w="138"/>
        <w:gridCol w:w="222"/>
      </w:tblGrid>
      <w:tr w:rsidR="00AC0856" w:rsidRPr="00720C2F" w:rsidTr="000A421F">
        <w:trPr>
          <w:gridAfter w:val="1"/>
          <w:wAfter w:w="222"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AC0856" w:rsidRPr="00720C2F" w:rsidRDefault="00AC0856" w:rsidP="002478F1">
            <w:pPr>
              <w:jc w:val="center"/>
              <w:rPr>
                <w:b/>
              </w:rPr>
            </w:pPr>
            <w:r w:rsidRPr="002D2ACF">
              <w:rPr>
                <w:b/>
              </w:rPr>
              <w:lastRenderedPageBreak/>
              <w:br w:type="page"/>
              <w:t>Core Expectations</w:t>
            </w:r>
            <w:r>
              <w:br w:type="page"/>
            </w:r>
          </w:p>
        </w:tc>
        <w:tc>
          <w:tcPr>
            <w:tcW w:w="12222" w:type="dxa"/>
            <w:gridSpan w:val="3"/>
            <w:tcBorders>
              <w:top w:val="single" w:sz="18" w:space="0" w:color="auto"/>
              <w:right w:val="single" w:sz="18" w:space="0" w:color="auto"/>
            </w:tcBorders>
            <w:shd w:val="clear" w:color="auto" w:fill="D9D9D9" w:themeFill="background1" w:themeFillShade="D9"/>
            <w:vAlign w:val="center"/>
          </w:tcPr>
          <w:p w:rsidR="00AC0856" w:rsidRDefault="00AC0856" w:rsidP="002478F1">
            <w:pPr>
              <w:jc w:val="center"/>
              <w:rPr>
                <w:b/>
              </w:rPr>
            </w:pPr>
            <w:r w:rsidRPr="00720C2F">
              <w:rPr>
                <w:b/>
              </w:rPr>
              <w:t>Activity</w:t>
            </w:r>
            <w:r w:rsidR="000751CE">
              <w:rPr>
                <w:b/>
              </w:rPr>
              <w:t xml:space="preserve"> #2</w:t>
            </w:r>
          </w:p>
          <w:p w:rsidR="000751CE" w:rsidRPr="00720C2F" w:rsidRDefault="000751CE" w:rsidP="00952984">
            <w:pPr>
              <w:rPr>
                <w:b/>
              </w:rPr>
            </w:pPr>
          </w:p>
        </w:tc>
      </w:tr>
      <w:tr w:rsidR="00AC0856" w:rsidRPr="00A862C1" w:rsidTr="000A421F">
        <w:trPr>
          <w:gridAfter w:val="1"/>
          <w:wAfter w:w="222" w:type="dxa"/>
          <w:trHeight w:val="775"/>
        </w:trPr>
        <w:tc>
          <w:tcPr>
            <w:tcW w:w="2448" w:type="dxa"/>
            <w:tcBorders>
              <w:left w:val="single" w:sz="18" w:space="0" w:color="auto"/>
            </w:tcBorders>
            <w:vAlign w:val="center"/>
          </w:tcPr>
          <w:p w:rsidR="00AC0856" w:rsidRPr="00AB534E" w:rsidRDefault="00B02586" w:rsidP="002478F1">
            <w:pPr>
              <w:tabs>
                <w:tab w:val="left" w:pos="360"/>
              </w:tabs>
              <w:spacing w:line="480" w:lineRule="auto"/>
              <w:rPr>
                <w:sz w:val="16"/>
              </w:rPr>
            </w:pPr>
            <w:sdt>
              <w:sdtPr>
                <w:rPr>
                  <w:sz w:val="16"/>
                </w:rPr>
                <w:id w:val="-964576599"/>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Pr>
                <w:sz w:val="16"/>
              </w:rPr>
              <w:t xml:space="preserve"> </w:t>
            </w:r>
            <w:r w:rsidR="00AC0856" w:rsidRPr="00AB534E">
              <w:rPr>
                <w:sz w:val="16"/>
              </w:rPr>
              <w:t>Economic Development</w:t>
            </w:r>
          </w:p>
          <w:p w:rsidR="00AC0856" w:rsidRPr="00AB534E" w:rsidRDefault="00B02586" w:rsidP="002478F1">
            <w:pPr>
              <w:tabs>
                <w:tab w:val="left" w:pos="360"/>
              </w:tabs>
              <w:spacing w:line="480" w:lineRule="auto"/>
              <w:rPr>
                <w:sz w:val="16"/>
              </w:rPr>
            </w:pPr>
            <w:sdt>
              <w:sdtPr>
                <w:rPr>
                  <w:sz w:val="16"/>
                </w:rPr>
                <w:id w:val="1453439986"/>
                <w14:checkbox>
                  <w14:checked w14:val="0"/>
                  <w14:checkedState w14:val="2612" w14:font="MS Gothic"/>
                  <w14:uncheckedState w14:val="2610" w14:font="MS Gothic"/>
                </w14:checkbox>
              </w:sdtPr>
              <w:sdtEndPr/>
              <w:sdtContent>
                <w:r w:rsidR="00120E68">
                  <w:rPr>
                    <w:rFonts w:ascii="MS Gothic" w:eastAsia="MS Gothic" w:hAnsi="MS Gothic" w:hint="eastAsia"/>
                    <w:sz w:val="16"/>
                  </w:rPr>
                  <w:t>☐</w:t>
                </w:r>
              </w:sdtContent>
            </w:sdt>
            <w:r w:rsidR="00AC0856">
              <w:rPr>
                <w:sz w:val="16"/>
              </w:rPr>
              <w:t xml:space="preserve"> </w:t>
            </w:r>
            <w:r w:rsidR="00AC0856" w:rsidRPr="00AB534E">
              <w:rPr>
                <w:sz w:val="16"/>
              </w:rPr>
              <w:t>Sector Strategy</w:t>
            </w:r>
          </w:p>
          <w:p w:rsidR="00AC0856" w:rsidRPr="00AB534E" w:rsidRDefault="00B02586" w:rsidP="002478F1">
            <w:pPr>
              <w:tabs>
                <w:tab w:val="left" w:pos="360"/>
              </w:tabs>
              <w:spacing w:line="480" w:lineRule="auto"/>
              <w:rPr>
                <w:sz w:val="16"/>
              </w:rPr>
            </w:pPr>
            <w:sdt>
              <w:sdtPr>
                <w:rPr>
                  <w:sz w:val="16"/>
                </w:rPr>
                <w:id w:val="-1993857829"/>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sidRPr="00AB534E">
              <w:rPr>
                <w:sz w:val="16"/>
              </w:rPr>
              <w:t xml:space="preserve"> Ed/Innovation/Efficiency</w:t>
            </w:r>
          </w:p>
          <w:p w:rsidR="00AC0856" w:rsidRDefault="00B02586" w:rsidP="002478F1">
            <w:pPr>
              <w:tabs>
                <w:tab w:val="left" w:pos="360"/>
              </w:tabs>
              <w:spacing w:line="480" w:lineRule="auto"/>
              <w:rPr>
                <w:sz w:val="16"/>
              </w:rPr>
            </w:pPr>
            <w:sdt>
              <w:sdtPr>
                <w:rPr>
                  <w:sz w:val="16"/>
                </w:rPr>
                <w:id w:val="973493131"/>
                <w14:checkbox>
                  <w14:checked w14:val="1"/>
                  <w14:checkedState w14:val="2612" w14:font="MS Gothic"/>
                  <w14:uncheckedState w14:val="2610" w14:font="MS Gothic"/>
                </w14:checkbox>
              </w:sdtPr>
              <w:sdtEndPr/>
              <w:sdtContent>
                <w:r w:rsidR="00120E68">
                  <w:rPr>
                    <w:rFonts w:ascii="MS Gothic" w:eastAsia="MS Gothic" w:hAnsi="MS Gothic" w:hint="eastAsia"/>
                    <w:sz w:val="16"/>
                  </w:rPr>
                  <w:t>☒</w:t>
                </w:r>
              </w:sdtContent>
            </w:sdt>
            <w:r w:rsidR="00AC0856" w:rsidRPr="00AB534E">
              <w:rPr>
                <w:sz w:val="16"/>
              </w:rPr>
              <w:t xml:space="preserve"> Supply/Demand</w:t>
            </w:r>
          </w:p>
          <w:p w:rsidR="00AC0856" w:rsidRDefault="00B02586" w:rsidP="002478F1">
            <w:pPr>
              <w:tabs>
                <w:tab w:val="left" w:pos="360"/>
              </w:tabs>
              <w:spacing w:line="480" w:lineRule="auto"/>
            </w:pPr>
            <w:sdt>
              <w:sdtPr>
                <w:rPr>
                  <w:sz w:val="16"/>
                </w:rPr>
                <w:id w:val="1403339801"/>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sidRPr="00AB534E">
              <w:rPr>
                <w:sz w:val="16"/>
              </w:rPr>
              <w:t xml:space="preserve"> </w:t>
            </w:r>
            <w:r w:rsidR="00AC0856">
              <w:rPr>
                <w:sz w:val="16"/>
              </w:rPr>
              <w:t>Equity &amp; Access</w:t>
            </w:r>
          </w:p>
        </w:tc>
        <w:tc>
          <w:tcPr>
            <w:tcW w:w="12222" w:type="dxa"/>
            <w:gridSpan w:val="3"/>
            <w:tcBorders>
              <w:right w:val="single" w:sz="18" w:space="0" w:color="auto"/>
            </w:tcBorders>
          </w:tcPr>
          <w:p w:rsidR="00767D92" w:rsidRPr="00767D92" w:rsidRDefault="00767D92" w:rsidP="000122F7">
            <w:pPr>
              <w:spacing w:line="312" w:lineRule="auto"/>
              <w:rPr>
                <w:rFonts w:ascii="Times New Roman" w:hAnsi="Times New Roman" w:cs="Times New Roman"/>
                <w:b/>
                <w:sz w:val="20"/>
              </w:rPr>
            </w:pPr>
            <w:r w:rsidRPr="00767D92">
              <w:rPr>
                <w:rFonts w:ascii="Times New Roman" w:hAnsi="Times New Roman" w:cs="Times New Roman"/>
                <w:b/>
                <w:sz w:val="24"/>
              </w:rPr>
              <w:t>Pathways to Partnership</w:t>
            </w:r>
            <w:r w:rsidR="000122F7">
              <w:rPr>
                <w:rFonts w:ascii="Times New Roman" w:hAnsi="Times New Roman" w:cs="Times New Roman"/>
                <w:b/>
                <w:sz w:val="24"/>
              </w:rPr>
              <w:t xml:space="preserve">s: Collaboration Among Centers with an </w:t>
            </w:r>
            <w:r w:rsidRPr="00767D92">
              <w:rPr>
                <w:rFonts w:ascii="Times New Roman" w:eastAsia="Times New Roman" w:hAnsi="Times New Roman" w:cs="Times New Roman"/>
                <w:b/>
                <w:bCs/>
                <w:color w:val="0E101A"/>
                <w:sz w:val="24"/>
                <w:szCs w:val="24"/>
              </w:rPr>
              <w:t>Employers Engagement Seminar/Conference</w:t>
            </w:r>
          </w:p>
          <w:p w:rsidR="00767D92" w:rsidRPr="00767D92" w:rsidRDefault="00767D92" w:rsidP="00767D92">
            <w:p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Hold a state-wide conference/seminar in collaboration with the Supply Chain Center of Excellence and other Centers that choose to participate, employers, affiliated organizations, professional/technical faculty, and students to develop and deliver information and training opportunities that:</w:t>
            </w:r>
          </w:p>
          <w:p w:rsidR="00767D92" w:rsidRPr="00767D92" w:rsidRDefault="00767D92" w:rsidP="00767D92">
            <w:pPr>
              <w:numPr>
                <w:ilvl w:val="0"/>
                <w:numId w:val="14"/>
              </w:num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Builds continuity and resiliency to address the impacts of economic and climate change on our state's communities' health, resources, and economics.</w:t>
            </w:r>
          </w:p>
          <w:p w:rsidR="00767D92" w:rsidRPr="00767D92" w:rsidRDefault="00767D92" w:rsidP="00767D92">
            <w:pPr>
              <w:numPr>
                <w:ilvl w:val="0"/>
                <w:numId w:val="14"/>
              </w:num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Develop appropriate curriculum and training to address these new knowledge and skill sets.</w:t>
            </w:r>
          </w:p>
          <w:p w:rsidR="00767D92" w:rsidRPr="00767D92" w:rsidRDefault="00767D92" w:rsidP="00767D92">
            <w:pPr>
              <w:numPr>
                <w:ilvl w:val="0"/>
                <w:numId w:val="14"/>
              </w:num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Initiate and recruit underrepresented groups to enter career pathways in risk, emergency, and continuity of operations management.</w:t>
            </w:r>
          </w:p>
          <w:p w:rsidR="00767D92" w:rsidRPr="00767D92" w:rsidRDefault="00767D92" w:rsidP="00767D92">
            <w:pPr>
              <w:numPr>
                <w:ilvl w:val="0"/>
                <w:numId w:val="14"/>
              </w:num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Identify challenges, issues, and impacts from industry experts. </w:t>
            </w:r>
          </w:p>
          <w:p w:rsidR="00767D92" w:rsidRPr="00767D92" w:rsidRDefault="00767D92" w:rsidP="00767D92">
            <w:pPr>
              <w:rPr>
                <w:rFonts w:ascii="Times New Roman" w:eastAsia="Times New Roman" w:hAnsi="Times New Roman" w:cs="Times New Roman"/>
                <w:color w:val="0E101A"/>
                <w:sz w:val="24"/>
                <w:szCs w:val="24"/>
              </w:rPr>
            </w:pPr>
            <w:r w:rsidRPr="00767D92">
              <w:rPr>
                <w:rFonts w:ascii="Times New Roman" w:eastAsia="Times New Roman" w:hAnsi="Times New Roman" w:cs="Times New Roman"/>
                <w:color w:val="0E101A"/>
                <w:sz w:val="24"/>
                <w:szCs w:val="24"/>
              </w:rPr>
              <w:t> Conference for employers, industry, professional/technical faculty, deans, and students to build knowledge, skills, and abilities in recruiting and working with employers to meet the changing needs of the programs and industry. Present current best practices, tools, and innovations for sustaining employer engagement.  </w:t>
            </w:r>
          </w:p>
          <w:p w:rsidR="000751CE" w:rsidRPr="000751CE" w:rsidRDefault="000751CE" w:rsidP="00952984">
            <w:pPr>
              <w:spacing w:line="312" w:lineRule="auto"/>
              <w:rPr>
                <w:sz w:val="18"/>
              </w:rPr>
            </w:pPr>
          </w:p>
        </w:tc>
      </w:tr>
      <w:tr w:rsidR="00AC0856" w:rsidRPr="00720C2F" w:rsidTr="000A421F">
        <w:trPr>
          <w:gridAfter w:val="1"/>
          <w:wAfter w:w="222" w:type="dxa"/>
          <w:trHeight w:val="351"/>
        </w:trPr>
        <w:tc>
          <w:tcPr>
            <w:tcW w:w="2448" w:type="dxa"/>
            <w:tcBorders>
              <w:left w:val="single" w:sz="18" w:space="0" w:color="auto"/>
              <w:right w:val="single" w:sz="4" w:space="0" w:color="auto"/>
            </w:tcBorders>
            <w:shd w:val="clear" w:color="auto" w:fill="D9D9D9" w:themeFill="background1" w:themeFillShade="D9"/>
          </w:tcPr>
          <w:p w:rsidR="00AC0856" w:rsidRPr="00720C2F" w:rsidRDefault="00AC0856" w:rsidP="002478F1">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Purpose</w:t>
            </w:r>
          </w:p>
        </w:tc>
        <w:tc>
          <w:tcPr>
            <w:tcW w:w="5977" w:type="dxa"/>
            <w:gridSpan w:val="2"/>
            <w:tcBorders>
              <w:right w:val="single" w:sz="18"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Projected Outcomes and Products</w:t>
            </w:r>
          </w:p>
        </w:tc>
      </w:tr>
      <w:tr w:rsidR="00AC0856" w:rsidRPr="00A862C1" w:rsidTr="000A421F">
        <w:trPr>
          <w:gridAfter w:val="1"/>
          <w:wAfter w:w="222" w:type="dxa"/>
          <w:trHeight w:val="351"/>
        </w:trPr>
        <w:tc>
          <w:tcPr>
            <w:tcW w:w="2448" w:type="dxa"/>
            <w:tcBorders>
              <w:left w:val="single" w:sz="18" w:space="0" w:color="auto"/>
              <w:bottom w:val="single" w:sz="18" w:space="0" w:color="auto"/>
              <w:right w:val="single" w:sz="4" w:space="0" w:color="auto"/>
            </w:tcBorders>
          </w:tcPr>
          <w:p w:rsidR="00AC0856" w:rsidRPr="00A862C1" w:rsidRDefault="0097046F" w:rsidP="002478F1">
            <w:pPr>
              <w:tabs>
                <w:tab w:val="left" w:pos="360"/>
              </w:tabs>
              <w:spacing w:line="312" w:lineRule="auto"/>
              <w:rPr>
                <w:sz w:val="18"/>
                <w:szCs w:val="18"/>
              </w:rPr>
            </w:pPr>
            <w:r>
              <w:rPr>
                <w:sz w:val="18"/>
                <w:szCs w:val="18"/>
              </w:rPr>
              <w:t>COE 100% Allocation</w:t>
            </w:r>
          </w:p>
        </w:tc>
        <w:tc>
          <w:tcPr>
            <w:tcW w:w="6245" w:type="dxa"/>
            <w:tcBorders>
              <w:left w:val="single" w:sz="4" w:space="0" w:color="auto"/>
              <w:bottom w:val="single" w:sz="18" w:space="0" w:color="auto"/>
            </w:tcBorders>
          </w:tcPr>
          <w:p w:rsidR="00262A19" w:rsidRPr="00767D92" w:rsidRDefault="00767D92" w:rsidP="00767D92">
            <w:pPr>
              <w:spacing w:line="312" w:lineRule="auto"/>
              <w:rPr>
                <w:rFonts w:ascii="Times New Roman" w:hAnsi="Times New Roman" w:cs="Times New Roman"/>
                <w:sz w:val="18"/>
                <w:szCs w:val="18"/>
              </w:rPr>
            </w:pPr>
            <w:r w:rsidRPr="00767D92">
              <w:rPr>
                <w:rFonts w:ascii="Times New Roman" w:hAnsi="Times New Roman" w:cs="Times New Roman"/>
                <w:sz w:val="24"/>
                <w:szCs w:val="18"/>
              </w:rPr>
              <w:t>Support the CTC system in engaging employers and educators to ensure relevant and current programs responsive to the industry.</w:t>
            </w:r>
          </w:p>
        </w:tc>
        <w:tc>
          <w:tcPr>
            <w:tcW w:w="5977" w:type="dxa"/>
            <w:gridSpan w:val="2"/>
            <w:tcBorders>
              <w:bottom w:val="single" w:sz="18" w:space="0" w:color="auto"/>
              <w:right w:val="single" w:sz="18" w:space="0" w:color="auto"/>
            </w:tcBorders>
          </w:tcPr>
          <w:p w:rsidR="00767D92" w:rsidRDefault="00767D92" w:rsidP="00264A63">
            <w:pPr>
              <w:pStyle w:val="ListParagraph"/>
              <w:numPr>
                <w:ilvl w:val="0"/>
                <w:numId w:val="19"/>
              </w:numPr>
              <w:rPr>
                <w:rFonts w:ascii="Times New Roman" w:hAnsi="Times New Roman" w:cs="Times New Roman"/>
                <w:sz w:val="24"/>
                <w:szCs w:val="18"/>
              </w:rPr>
            </w:pPr>
            <w:r w:rsidRPr="00767D92">
              <w:rPr>
                <w:rFonts w:ascii="Times New Roman" w:hAnsi="Times New Roman" w:cs="Times New Roman"/>
                <w:sz w:val="24"/>
                <w:szCs w:val="18"/>
              </w:rPr>
              <w:t xml:space="preserve">Educate up to </w:t>
            </w:r>
            <w:r w:rsidR="000122F7">
              <w:rPr>
                <w:rFonts w:ascii="Times New Roman" w:hAnsi="Times New Roman" w:cs="Times New Roman"/>
                <w:sz w:val="24"/>
                <w:szCs w:val="18"/>
              </w:rPr>
              <w:t>forty-five (45</w:t>
            </w:r>
            <w:r w:rsidRPr="00767D92">
              <w:rPr>
                <w:rFonts w:ascii="Times New Roman" w:hAnsi="Times New Roman" w:cs="Times New Roman"/>
                <w:sz w:val="24"/>
                <w:szCs w:val="18"/>
              </w:rPr>
              <w:t>) professional and technical faculty, instructors, and deans on how to meet the changing eco</w:t>
            </w:r>
            <w:r w:rsidR="007406E0">
              <w:rPr>
                <w:rFonts w:ascii="Times New Roman" w:hAnsi="Times New Roman" w:cs="Times New Roman"/>
                <w:sz w:val="24"/>
                <w:szCs w:val="18"/>
              </w:rPr>
              <w:t>nomic and environmental challenges.</w:t>
            </w:r>
          </w:p>
          <w:p w:rsidR="00767D92" w:rsidRPr="00767D92" w:rsidRDefault="00767D92" w:rsidP="00264A63">
            <w:pPr>
              <w:pStyle w:val="ListParagraph"/>
              <w:numPr>
                <w:ilvl w:val="1"/>
                <w:numId w:val="19"/>
              </w:numPr>
              <w:rPr>
                <w:rFonts w:ascii="Times New Roman" w:hAnsi="Times New Roman" w:cs="Times New Roman"/>
                <w:sz w:val="24"/>
                <w:szCs w:val="18"/>
              </w:rPr>
            </w:pPr>
            <w:r>
              <w:rPr>
                <w:rFonts w:ascii="Times New Roman" w:hAnsi="Times New Roman" w:cs="Times New Roman"/>
                <w:sz w:val="24"/>
                <w:szCs w:val="18"/>
              </w:rPr>
              <w:t>Fifteen (15) faculty/instructors and deans per quarter.</w:t>
            </w:r>
          </w:p>
          <w:p w:rsidR="00767D92" w:rsidRPr="00767D92" w:rsidRDefault="00767D92" w:rsidP="00264A63">
            <w:pPr>
              <w:pStyle w:val="ListParagraph"/>
              <w:numPr>
                <w:ilvl w:val="0"/>
                <w:numId w:val="19"/>
              </w:numPr>
              <w:rPr>
                <w:rFonts w:ascii="Times New Roman" w:hAnsi="Times New Roman" w:cs="Times New Roman"/>
                <w:sz w:val="24"/>
                <w:szCs w:val="18"/>
              </w:rPr>
            </w:pPr>
            <w:r w:rsidRPr="00767D92">
              <w:rPr>
                <w:rFonts w:ascii="Times New Roman" w:hAnsi="Times New Roman" w:cs="Times New Roman"/>
                <w:sz w:val="24"/>
                <w:szCs w:val="18"/>
              </w:rPr>
              <w:t>Develop a certification/training program for faculty and industry.</w:t>
            </w:r>
          </w:p>
          <w:p w:rsidR="00EA6C8B" w:rsidRPr="00F8738D" w:rsidRDefault="00767D92" w:rsidP="00264A63">
            <w:pPr>
              <w:pStyle w:val="ListParagraph"/>
              <w:numPr>
                <w:ilvl w:val="0"/>
                <w:numId w:val="19"/>
              </w:numPr>
              <w:rPr>
                <w:sz w:val="18"/>
                <w:szCs w:val="18"/>
              </w:rPr>
            </w:pPr>
            <w:r w:rsidRPr="00767D92">
              <w:rPr>
                <w:rFonts w:ascii="Times New Roman" w:hAnsi="Times New Roman" w:cs="Times New Roman"/>
                <w:sz w:val="24"/>
                <w:szCs w:val="18"/>
              </w:rPr>
              <w:t>Complete in the 3rd quarter of the year.</w:t>
            </w:r>
          </w:p>
          <w:p w:rsidR="00F8738D" w:rsidRPr="00EA6C8B" w:rsidRDefault="00F8738D" w:rsidP="00264A63">
            <w:pPr>
              <w:pStyle w:val="ListParagraph"/>
              <w:numPr>
                <w:ilvl w:val="0"/>
                <w:numId w:val="19"/>
              </w:numPr>
              <w:rPr>
                <w:sz w:val="18"/>
                <w:szCs w:val="18"/>
              </w:rPr>
            </w:pPr>
            <w:r>
              <w:rPr>
                <w:rFonts w:ascii="Times New Roman" w:hAnsi="Times New Roman" w:cs="Times New Roman"/>
                <w:sz w:val="24"/>
                <w:szCs w:val="18"/>
              </w:rPr>
              <w:t xml:space="preserve">Review certification feedback and revise as needed. </w:t>
            </w:r>
          </w:p>
        </w:tc>
      </w:tr>
      <w:tr w:rsidR="00AC0856" w:rsidRPr="00720C2F" w:rsidTr="000A421F">
        <w:trPr>
          <w:gridAfter w:val="1"/>
          <w:wAfter w:w="222" w:type="dxa"/>
          <w:trHeight w:val="351"/>
        </w:trPr>
        <w:tc>
          <w:tcPr>
            <w:tcW w:w="1467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AC0856" w:rsidRPr="00720C2F" w:rsidRDefault="00AC0856" w:rsidP="002478F1">
            <w:pPr>
              <w:spacing w:line="312" w:lineRule="auto"/>
              <w:jc w:val="center"/>
              <w:rPr>
                <w:b/>
              </w:rPr>
            </w:pPr>
            <w:r w:rsidRPr="00720C2F">
              <w:rPr>
                <w:b/>
              </w:rPr>
              <w:t xml:space="preserve">Report </w:t>
            </w:r>
            <w:r>
              <w:rPr>
                <w:b/>
              </w:rPr>
              <w:t xml:space="preserve">and Analysis </w:t>
            </w:r>
            <w:r w:rsidRPr="00720C2F">
              <w:rPr>
                <w:b/>
              </w:rPr>
              <w:t>on Actual Outcomes and Products</w:t>
            </w: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1</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2</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3</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lastRenderedPageBreak/>
              <w:t>Quarter 4</w:t>
            </w:r>
          </w:p>
        </w:tc>
        <w:tc>
          <w:tcPr>
            <w:tcW w:w="12222" w:type="dxa"/>
            <w:gridSpan w:val="3"/>
            <w:tcBorders>
              <w:left w:val="single" w:sz="4" w:space="0" w:color="auto"/>
              <w:bottom w:val="single" w:sz="4" w:space="0" w:color="auto"/>
              <w:right w:val="single" w:sz="18" w:space="0" w:color="auto"/>
            </w:tcBorders>
            <w:vAlign w:val="center"/>
          </w:tcPr>
          <w:p w:rsidR="00AC0856" w:rsidRPr="00A862C1" w:rsidRDefault="00AC0856" w:rsidP="002478F1">
            <w:pPr>
              <w:spacing w:line="312" w:lineRule="auto"/>
              <w:rPr>
                <w:sz w:val="18"/>
              </w:rPr>
            </w:pPr>
          </w:p>
        </w:tc>
      </w:tr>
      <w:tr w:rsidR="000122F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0122F7" w:rsidRPr="00720C2F" w:rsidRDefault="000122F7" w:rsidP="002478F1">
            <w:pPr>
              <w:rPr>
                <w:b/>
              </w:rPr>
            </w:pPr>
            <w:r>
              <w:rPr>
                <w:b/>
              </w:rPr>
              <w:t>Analysis Q1</w:t>
            </w:r>
          </w:p>
        </w:tc>
        <w:tc>
          <w:tcPr>
            <w:tcW w:w="12222" w:type="dxa"/>
            <w:gridSpan w:val="3"/>
            <w:tcBorders>
              <w:left w:val="single" w:sz="4" w:space="0" w:color="auto"/>
              <w:bottom w:val="single" w:sz="4" w:space="0" w:color="auto"/>
              <w:right w:val="single" w:sz="18" w:space="0" w:color="auto"/>
            </w:tcBorders>
            <w:vAlign w:val="center"/>
          </w:tcPr>
          <w:p w:rsidR="000122F7" w:rsidRPr="00A862C1" w:rsidRDefault="000122F7" w:rsidP="002478F1">
            <w:pPr>
              <w:spacing w:line="312" w:lineRule="auto"/>
              <w:rPr>
                <w:sz w:val="18"/>
              </w:rPr>
            </w:pPr>
          </w:p>
        </w:tc>
      </w:tr>
      <w:tr w:rsidR="000122F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0122F7" w:rsidRDefault="000122F7" w:rsidP="002478F1">
            <w:pPr>
              <w:rPr>
                <w:b/>
              </w:rPr>
            </w:pPr>
            <w:r>
              <w:rPr>
                <w:b/>
              </w:rPr>
              <w:t>Analysis Q2</w:t>
            </w:r>
          </w:p>
        </w:tc>
        <w:tc>
          <w:tcPr>
            <w:tcW w:w="12222" w:type="dxa"/>
            <w:gridSpan w:val="3"/>
            <w:tcBorders>
              <w:left w:val="single" w:sz="4" w:space="0" w:color="auto"/>
              <w:bottom w:val="single" w:sz="4" w:space="0" w:color="auto"/>
              <w:right w:val="single" w:sz="18" w:space="0" w:color="auto"/>
            </w:tcBorders>
            <w:vAlign w:val="center"/>
          </w:tcPr>
          <w:p w:rsidR="000122F7" w:rsidRPr="00A862C1" w:rsidRDefault="000122F7" w:rsidP="002478F1">
            <w:pPr>
              <w:spacing w:line="312" w:lineRule="auto"/>
              <w:rPr>
                <w:sz w:val="18"/>
              </w:rPr>
            </w:pPr>
          </w:p>
        </w:tc>
      </w:tr>
      <w:tr w:rsidR="000122F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0122F7" w:rsidRDefault="000122F7" w:rsidP="002478F1">
            <w:pPr>
              <w:rPr>
                <w:b/>
              </w:rPr>
            </w:pPr>
            <w:r>
              <w:rPr>
                <w:b/>
              </w:rPr>
              <w:t>Analysis Q3</w:t>
            </w:r>
          </w:p>
        </w:tc>
        <w:tc>
          <w:tcPr>
            <w:tcW w:w="12222" w:type="dxa"/>
            <w:gridSpan w:val="3"/>
            <w:tcBorders>
              <w:left w:val="single" w:sz="4" w:space="0" w:color="auto"/>
              <w:bottom w:val="single" w:sz="4" w:space="0" w:color="auto"/>
              <w:right w:val="single" w:sz="18" w:space="0" w:color="auto"/>
            </w:tcBorders>
            <w:vAlign w:val="center"/>
          </w:tcPr>
          <w:p w:rsidR="000122F7" w:rsidRPr="00A862C1" w:rsidRDefault="000122F7" w:rsidP="002478F1">
            <w:pPr>
              <w:spacing w:line="312" w:lineRule="auto"/>
              <w:rPr>
                <w:sz w:val="18"/>
              </w:rPr>
            </w:pPr>
          </w:p>
        </w:tc>
      </w:tr>
      <w:tr w:rsidR="000122F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0122F7" w:rsidRDefault="000122F7" w:rsidP="002478F1">
            <w:pPr>
              <w:rPr>
                <w:b/>
              </w:rPr>
            </w:pPr>
            <w:r>
              <w:rPr>
                <w:b/>
              </w:rPr>
              <w:t>Analysis Q4</w:t>
            </w:r>
          </w:p>
        </w:tc>
        <w:tc>
          <w:tcPr>
            <w:tcW w:w="12222" w:type="dxa"/>
            <w:gridSpan w:val="3"/>
            <w:tcBorders>
              <w:left w:val="single" w:sz="4" w:space="0" w:color="auto"/>
              <w:bottom w:val="single" w:sz="4" w:space="0" w:color="auto"/>
              <w:right w:val="single" w:sz="18" w:space="0" w:color="auto"/>
            </w:tcBorders>
            <w:vAlign w:val="center"/>
          </w:tcPr>
          <w:p w:rsidR="000122F7" w:rsidRPr="00A862C1" w:rsidRDefault="000122F7" w:rsidP="002478F1">
            <w:pPr>
              <w:spacing w:line="312" w:lineRule="auto"/>
              <w:rPr>
                <w:sz w:val="18"/>
              </w:rPr>
            </w:pPr>
          </w:p>
        </w:tc>
      </w:tr>
      <w:tr w:rsidR="00AC0856" w:rsidRPr="00720C2F" w:rsidTr="000A421F">
        <w:trPr>
          <w:gridAfter w:val="1"/>
          <w:wAfter w:w="222"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AC0856" w:rsidRPr="00720C2F" w:rsidRDefault="00AC0856" w:rsidP="002478F1">
            <w:pPr>
              <w:jc w:val="center"/>
              <w:rPr>
                <w:b/>
              </w:rPr>
            </w:pPr>
            <w:r w:rsidRPr="002D2ACF">
              <w:rPr>
                <w:b/>
              </w:rPr>
              <w:br w:type="page"/>
              <w:t>Core Expectations</w:t>
            </w:r>
            <w:r>
              <w:br w:type="page"/>
            </w:r>
          </w:p>
        </w:tc>
        <w:tc>
          <w:tcPr>
            <w:tcW w:w="12222" w:type="dxa"/>
            <w:gridSpan w:val="3"/>
            <w:tcBorders>
              <w:top w:val="single" w:sz="18" w:space="0" w:color="auto"/>
              <w:right w:val="single" w:sz="18" w:space="0" w:color="auto"/>
            </w:tcBorders>
            <w:shd w:val="clear" w:color="auto" w:fill="D9D9D9" w:themeFill="background1" w:themeFillShade="D9"/>
            <w:vAlign w:val="center"/>
          </w:tcPr>
          <w:p w:rsidR="00AC0856" w:rsidRDefault="00AC0856" w:rsidP="002478F1">
            <w:pPr>
              <w:jc w:val="center"/>
              <w:rPr>
                <w:b/>
              </w:rPr>
            </w:pPr>
            <w:r w:rsidRPr="00720C2F">
              <w:rPr>
                <w:b/>
              </w:rPr>
              <w:t>Activity</w:t>
            </w:r>
            <w:r w:rsidR="00952984">
              <w:rPr>
                <w:b/>
              </w:rPr>
              <w:t xml:space="preserve"> #3</w:t>
            </w:r>
          </w:p>
          <w:p w:rsidR="00952984" w:rsidRPr="00720C2F" w:rsidRDefault="00952984" w:rsidP="00EA6C8B">
            <w:pPr>
              <w:jc w:val="center"/>
              <w:rPr>
                <w:b/>
              </w:rPr>
            </w:pPr>
          </w:p>
        </w:tc>
      </w:tr>
      <w:tr w:rsidR="00AC0856" w:rsidRPr="00A862C1" w:rsidTr="000A421F">
        <w:trPr>
          <w:gridAfter w:val="1"/>
          <w:wAfter w:w="222" w:type="dxa"/>
          <w:trHeight w:val="775"/>
        </w:trPr>
        <w:tc>
          <w:tcPr>
            <w:tcW w:w="2448" w:type="dxa"/>
            <w:tcBorders>
              <w:left w:val="single" w:sz="18" w:space="0" w:color="auto"/>
            </w:tcBorders>
            <w:vAlign w:val="center"/>
          </w:tcPr>
          <w:p w:rsidR="00AC0856" w:rsidRPr="00AB534E" w:rsidRDefault="00B02586" w:rsidP="002478F1">
            <w:pPr>
              <w:tabs>
                <w:tab w:val="left" w:pos="360"/>
              </w:tabs>
              <w:spacing w:line="480" w:lineRule="auto"/>
              <w:rPr>
                <w:sz w:val="16"/>
              </w:rPr>
            </w:pPr>
            <w:sdt>
              <w:sdtPr>
                <w:rPr>
                  <w:sz w:val="16"/>
                </w:rPr>
                <w:id w:val="1609315337"/>
                <w14:checkbox>
                  <w14:checked w14:val="1"/>
                  <w14:checkedState w14:val="2612" w14:font="MS Gothic"/>
                  <w14:uncheckedState w14:val="2610" w14:font="MS Gothic"/>
                </w14:checkbox>
              </w:sdtPr>
              <w:sdtEndPr/>
              <w:sdtContent>
                <w:r w:rsidR="00120E68">
                  <w:rPr>
                    <w:rFonts w:ascii="MS Gothic" w:eastAsia="MS Gothic" w:hAnsi="MS Gothic" w:hint="eastAsia"/>
                    <w:sz w:val="16"/>
                  </w:rPr>
                  <w:t>☒</w:t>
                </w:r>
              </w:sdtContent>
            </w:sdt>
            <w:r w:rsidR="00AC0856">
              <w:rPr>
                <w:sz w:val="16"/>
              </w:rPr>
              <w:t xml:space="preserve"> </w:t>
            </w:r>
            <w:r w:rsidR="00AC0856" w:rsidRPr="00AB534E">
              <w:rPr>
                <w:sz w:val="16"/>
              </w:rPr>
              <w:t>Economic Development</w:t>
            </w:r>
          </w:p>
          <w:p w:rsidR="00AC0856" w:rsidRPr="00AB534E" w:rsidRDefault="00B02586" w:rsidP="002478F1">
            <w:pPr>
              <w:tabs>
                <w:tab w:val="left" w:pos="360"/>
              </w:tabs>
              <w:spacing w:line="480" w:lineRule="auto"/>
              <w:rPr>
                <w:sz w:val="16"/>
              </w:rPr>
            </w:pPr>
            <w:sdt>
              <w:sdtPr>
                <w:rPr>
                  <w:sz w:val="16"/>
                </w:rPr>
                <w:id w:val="-1700918526"/>
                <w14:checkbox>
                  <w14:checked w14:val="0"/>
                  <w14:checkedState w14:val="2612" w14:font="MS Gothic"/>
                  <w14:uncheckedState w14:val="2610" w14:font="MS Gothic"/>
                </w14:checkbox>
              </w:sdtPr>
              <w:sdtEndPr/>
              <w:sdtContent>
                <w:r w:rsidR="00120E68">
                  <w:rPr>
                    <w:rFonts w:ascii="MS Gothic" w:eastAsia="MS Gothic" w:hAnsi="MS Gothic" w:hint="eastAsia"/>
                    <w:sz w:val="16"/>
                  </w:rPr>
                  <w:t>☐</w:t>
                </w:r>
              </w:sdtContent>
            </w:sdt>
            <w:r w:rsidR="00AC0856">
              <w:rPr>
                <w:sz w:val="16"/>
              </w:rPr>
              <w:t xml:space="preserve"> </w:t>
            </w:r>
            <w:r w:rsidR="00AC0856" w:rsidRPr="00AB534E">
              <w:rPr>
                <w:sz w:val="16"/>
              </w:rPr>
              <w:t>Sector Strategy</w:t>
            </w:r>
          </w:p>
          <w:p w:rsidR="00AC0856" w:rsidRPr="00AB534E" w:rsidRDefault="00B02586" w:rsidP="002478F1">
            <w:pPr>
              <w:tabs>
                <w:tab w:val="left" w:pos="360"/>
              </w:tabs>
              <w:spacing w:line="480" w:lineRule="auto"/>
              <w:rPr>
                <w:sz w:val="16"/>
              </w:rPr>
            </w:pPr>
            <w:sdt>
              <w:sdtPr>
                <w:rPr>
                  <w:sz w:val="16"/>
                </w:rPr>
                <w:id w:val="-1638408297"/>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sidRPr="00AB534E">
              <w:rPr>
                <w:sz w:val="16"/>
              </w:rPr>
              <w:t xml:space="preserve"> Ed/Innovation/Efficiency</w:t>
            </w:r>
          </w:p>
          <w:p w:rsidR="00AC0856" w:rsidRDefault="00B02586" w:rsidP="002478F1">
            <w:pPr>
              <w:tabs>
                <w:tab w:val="left" w:pos="360"/>
              </w:tabs>
              <w:spacing w:line="480" w:lineRule="auto"/>
              <w:rPr>
                <w:sz w:val="16"/>
              </w:rPr>
            </w:pPr>
            <w:sdt>
              <w:sdtPr>
                <w:rPr>
                  <w:sz w:val="16"/>
                </w:rPr>
                <w:id w:val="57906376"/>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sidRPr="00AB534E">
              <w:rPr>
                <w:sz w:val="16"/>
              </w:rPr>
              <w:t xml:space="preserve"> Supply/Demand</w:t>
            </w:r>
          </w:p>
          <w:p w:rsidR="00AC0856" w:rsidRDefault="00B02586" w:rsidP="002478F1">
            <w:pPr>
              <w:tabs>
                <w:tab w:val="left" w:pos="360"/>
              </w:tabs>
              <w:spacing w:line="480" w:lineRule="auto"/>
            </w:pPr>
            <w:sdt>
              <w:sdtPr>
                <w:rPr>
                  <w:sz w:val="16"/>
                </w:rPr>
                <w:id w:val="529846557"/>
                <w14:checkbox>
                  <w14:checked w14:val="1"/>
                  <w14:checkedState w14:val="2612" w14:font="MS Gothic"/>
                  <w14:uncheckedState w14:val="2610" w14:font="MS Gothic"/>
                </w14:checkbox>
              </w:sdtPr>
              <w:sdtEndPr/>
              <w:sdtContent>
                <w:r w:rsidR="0097046F">
                  <w:rPr>
                    <w:rFonts w:ascii="MS Gothic" w:eastAsia="MS Gothic" w:hAnsi="MS Gothic" w:hint="eastAsia"/>
                    <w:sz w:val="16"/>
                  </w:rPr>
                  <w:t>☒</w:t>
                </w:r>
              </w:sdtContent>
            </w:sdt>
            <w:r w:rsidR="00AC0856" w:rsidRPr="00AB534E">
              <w:rPr>
                <w:sz w:val="16"/>
              </w:rPr>
              <w:t xml:space="preserve"> </w:t>
            </w:r>
            <w:r w:rsidR="00AC0856">
              <w:rPr>
                <w:sz w:val="16"/>
              </w:rPr>
              <w:t>Equity &amp; Access</w:t>
            </w:r>
          </w:p>
        </w:tc>
        <w:tc>
          <w:tcPr>
            <w:tcW w:w="12222" w:type="dxa"/>
            <w:gridSpan w:val="3"/>
            <w:tcBorders>
              <w:right w:val="single" w:sz="18" w:space="0" w:color="auto"/>
            </w:tcBorders>
          </w:tcPr>
          <w:p w:rsidR="000122F7" w:rsidRPr="000122F7" w:rsidRDefault="004E0DE5" w:rsidP="002478F1">
            <w:pPr>
              <w:spacing w:line="312" w:lineRule="auto"/>
              <w:rPr>
                <w:rFonts w:ascii="Times New Roman" w:hAnsi="Times New Roman" w:cs="Times New Roman"/>
                <w:b/>
                <w:sz w:val="24"/>
              </w:rPr>
            </w:pPr>
            <w:r>
              <w:rPr>
                <w:rFonts w:ascii="Times New Roman" w:hAnsi="Times New Roman" w:cs="Times New Roman"/>
                <w:b/>
                <w:sz w:val="24"/>
              </w:rPr>
              <w:t>Pathway to Understanding Public-</w:t>
            </w:r>
            <w:r w:rsidR="000122F7" w:rsidRPr="000122F7">
              <w:rPr>
                <w:rFonts w:ascii="Times New Roman" w:hAnsi="Times New Roman" w:cs="Times New Roman"/>
                <w:b/>
                <w:sz w:val="24"/>
              </w:rPr>
              <w:t>Private Partnerships in Crisis, Risk, and EM and  Continuity of Operations Management</w:t>
            </w:r>
          </w:p>
          <w:p w:rsidR="000122F7" w:rsidRDefault="000122F7" w:rsidP="000122F7">
            <w:pPr>
              <w:pStyle w:val="NormalWeb"/>
              <w:spacing w:before="0" w:beforeAutospacing="0" w:after="0" w:afterAutospacing="0"/>
              <w:rPr>
                <w:rStyle w:val="Strong"/>
                <w:b w:val="0"/>
                <w:color w:val="0E101A"/>
              </w:rPr>
            </w:pPr>
            <w:r w:rsidRPr="000122F7">
              <w:rPr>
                <w:rStyle w:val="Strong"/>
                <w:b w:val="0"/>
                <w:color w:val="0E101A"/>
              </w:rPr>
              <w:t>Develop a “corporate” Emergency Management Program by navigating the complexities of corporate emergency/risk/crisis/and continuity management and security professionals. </w:t>
            </w:r>
          </w:p>
          <w:p w:rsidR="000122F7" w:rsidRPr="000122F7" w:rsidRDefault="000122F7" w:rsidP="000122F7">
            <w:pPr>
              <w:pStyle w:val="NormalWeb"/>
              <w:spacing w:before="0" w:beforeAutospacing="0" w:after="0" w:afterAutospacing="0"/>
              <w:rPr>
                <w:b/>
                <w:color w:val="0E101A"/>
              </w:rPr>
            </w:pPr>
            <w:r w:rsidRPr="000122F7">
              <w:rPr>
                <w:rStyle w:val="Strong"/>
                <w:b w:val="0"/>
                <w:color w:val="0E101A"/>
              </w:rPr>
              <w:t> </w:t>
            </w:r>
          </w:p>
          <w:p w:rsidR="000122F7" w:rsidRDefault="000122F7" w:rsidP="000122F7">
            <w:pPr>
              <w:pStyle w:val="NormalWeb"/>
              <w:spacing w:before="0" w:beforeAutospacing="0" w:after="0" w:afterAutospacing="0"/>
              <w:rPr>
                <w:color w:val="0E101A"/>
              </w:rPr>
            </w:pPr>
            <w:r>
              <w:rPr>
                <w:color w:val="0E101A"/>
              </w:rPr>
              <w:t>Emergency, business continuity, and crisis managers often focus on their response to an event and spend little time developing other vital aspects of an effective program. In corporate situations, most response and recovery failures result from inadequate planning and management rather than a lack of resources. </w:t>
            </w:r>
          </w:p>
          <w:p w:rsidR="000122F7" w:rsidRDefault="000122F7" w:rsidP="000122F7">
            <w:pPr>
              <w:pStyle w:val="NormalWeb"/>
              <w:spacing w:before="0" w:beforeAutospacing="0" w:after="0" w:afterAutospacing="0"/>
              <w:rPr>
                <w:color w:val="0E101A"/>
              </w:rPr>
            </w:pPr>
            <w:r>
              <w:rPr>
                <w:color w:val="0E101A"/>
              </w:rPr>
              <w:t>Hiring authorities in corporate situations often do not know what they need or what skills they need and the skills required to do the job. The goal is to complete a directed curriculum development process with Board Members and public and private sector representatives to develop a corporate EM Program.  </w:t>
            </w:r>
          </w:p>
          <w:p w:rsidR="0086574B" w:rsidRPr="00F63A00" w:rsidRDefault="0086574B" w:rsidP="00F63A00">
            <w:pPr>
              <w:spacing w:line="312" w:lineRule="auto"/>
              <w:rPr>
                <w:sz w:val="20"/>
                <w:szCs w:val="20"/>
              </w:rPr>
            </w:pPr>
          </w:p>
        </w:tc>
      </w:tr>
      <w:tr w:rsidR="00AC0856" w:rsidRPr="00720C2F" w:rsidTr="000A421F">
        <w:trPr>
          <w:gridAfter w:val="1"/>
          <w:wAfter w:w="222" w:type="dxa"/>
          <w:trHeight w:val="351"/>
        </w:trPr>
        <w:tc>
          <w:tcPr>
            <w:tcW w:w="2448" w:type="dxa"/>
            <w:tcBorders>
              <w:left w:val="single" w:sz="18" w:space="0" w:color="auto"/>
              <w:right w:val="single" w:sz="4" w:space="0" w:color="auto"/>
            </w:tcBorders>
            <w:shd w:val="clear" w:color="auto" w:fill="D9D9D9" w:themeFill="background1" w:themeFillShade="D9"/>
          </w:tcPr>
          <w:p w:rsidR="00AC0856" w:rsidRPr="00720C2F" w:rsidRDefault="00AC0856" w:rsidP="002478F1">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Purpose</w:t>
            </w:r>
          </w:p>
        </w:tc>
        <w:tc>
          <w:tcPr>
            <w:tcW w:w="5977" w:type="dxa"/>
            <w:gridSpan w:val="2"/>
            <w:tcBorders>
              <w:right w:val="single" w:sz="18"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Projected Outcomes and Products</w:t>
            </w:r>
          </w:p>
        </w:tc>
      </w:tr>
      <w:tr w:rsidR="00AC0856" w:rsidRPr="00A862C1" w:rsidTr="000A421F">
        <w:trPr>
          <w:gridAfter w:val="1"/>
          <w:wAfter w:w="222" w:type="dxa"/>
          <w:trHeight w:val="351"/>
        </w:trPr>
        <w:tc>
          <w:tcPr>
            <w:tcW w:w="2448" w:type="dxa"/>
            <w:tcBorders>
              <w:left w:val="single" w:sz="18" w:space="0" w:color="auto"/>
              <w:bottom w:val="single" w:sz="18" w:space="0" w:color="auto"/>
              <w:right w:val="single" w:sz="4" w:space="0" w:color="auto"/>
            </w:tcBorders>
          </w:tcPr>
          <w:p w:rsidR="00AC0856" w:rsidRPr="00A862C1" w:rsidRDefault="0097046F" w:rsidP="002478F1">
            <w:pPr>
              <w:tabs>
                <w:tab w:val="left" w:pos="360"/>
              </w:tabs>
              <w:spacing w:line="312" w:lineRule="auto"/>
              <w:rPr>
                <w:sz w:val="18"/>
                <w:szCs w:val="18"/>
              </w:rPr>
            </w:pPr>
            <w:r>
              <w:rPr>
                <w:sz w:val="18"/>
                <w:szCs w:val="18"/>
              </w:rPr>
              <w:t>COE 100% Allocation</w:t>
            </w:r>
          </w:p>
        </w:tc>
        <w:tc>
          <w:tcPr>
            <w:tcW w:w="6245" w:type="dxa"/>
            <w:tcBorders>
              <w:left w:val="single" w:sz="4" w:space="0" w:color="auto"/>
              <w:bottom w:val="single" w:sz="18" w:space="0" w:color="auto"/>
            </w:tcBorders>
          </w:tcPr>
          <w:p w:rsidR="00262A19" w:rsidRPr="000122F7" w:rsidRDefault="000122F7" w:rsidP="00D85D52">
            <w:pPr>
              <w:rPr>
                <w:rFonts w:ascii="Times New Roman" w:hAnsi="Times New Roman" w:cs="Times New Roman"/>
                <w:sz w:val="24"/>
                <w:szCs w:val="18"/>
              </w:rPr>
            </w:pPr>
            <w:r w:rsidRPr="000122F7">
              <w:rPr>
                <w:rFonts w:ascii="Times New Roman" w:hAnsi="Times New Roman" w:cs="Times New Roman"/>
                <w:sz w:val="24"/>
                <w:szCs w:val="18"/>
              </w:rPr>
              <w:t>Develop a “corporate” EM Program that is comprehensive and inclusive.   Describe the career options for emergency managers outside of the public sector; the pros and cons of corporate and public sectors EM; the role of EM in the corporate setting; significant challenges for EM in corporate environments.</w:t>
            </w:r>
          </w:p>
          <w:p w:rsidR="00501FB5" w:rsidRPr="00A862C1" w:rsidRDefault="00501FB5" w:rsidP="00F05508">
            <w:pPr>
              <w:spacing w:line="312" w:lineRule="auto"/>
              <w:rPr>
                <w:sz w:val="18"/>
                <w:szCs w:val="18"/>
              </w:rPr>
            </w:pPr>
          </w:p>
        </w:tc>
        <w:tc>
          <w:tcPr>
            <w:tcW w:w="5977" w:type="dxa"/>
            <w:gridSpan w:val="2"/>
            <w:tcBorders>
              <w:bottom w:val="single" w:sz="18" w:space="0" w:color="auto"/>
              <w:right w:val="single" w:sz="18" w:space="0" w:color="auto"/>
            </w:tcBorders>
          </w:tcPr>
          <w:p w:rsidR="000122F7" w:rsidRPr="00554098" w:rsidRDefault="00FA6ACC" w:rsidP="00D85D52">
            <w:pPr>
              <w:pStyle w:val="ListParagraph"/>
              <w:numPr>
                <w:ilvl w:val="0"/>
                <w:numId w:val="20"/>
              </w:numPr>
              <w:rPr>
                <w:rFonts w:ascii="Times New Roman" w:hAnsi="Times New Roman" w:cs="Times New Roman"/>
                <w:sz w:val="24"/>
                <w:szCs w:val="18"/>
              </w:rPr>
            </w:pPr>
            <w:r>
              <w:rPr>
                <w:rFonts w:ascii="Times New Roman" w:hAnsi="Times New Roman" w:cs="Times New Roman"/>
                <w:sz w:val="24"/>
                <w:szCs w:val="18"/>
              </w:rPr>
              <w:t>Board sub-committee work group will c</w:t>
            </w:r>
            <w:r w:rsidR="000122F7" w:rsidRPr="00554098">
              <w:rPr>
                <w:rFonts w:ascii="Times New Roman" w:hAnsi="Times New Roman" w:cs="Times New Roman"/>
                <w:sz w:val="24"/>
                <w:szCs w:val="18"/>
              </w:rPr>
              <w:t>omplete an assessment of</w:t>
            </w:r>
            <w:r>
              <w:rPr>
                <w:rFonts w:ascii="Times New Roman" w:hAnsi="Times New Roman" w:cs="Times New Roman"/>
                <w:sz w:val="24"/>
                <w:szCs w:val="18"/>
              </w:rPr>
              <w:t xml:space="preserve"> current capabilities and gaps in first quarter.</w:t>
            </w:r>
          </w:p>
          <w:p w:rsidR="000122F7" w:rsidRPr="00554098" w:rsidRDefault="000122F7" w:rsidP="00D85D52">
            <w:pPr>
              <w:pStyle w:val="ListParagraph"/>
              <w:numPr>
                <w:ilvl w:val="0"/>
                <w:numId w:val="20"/>
              </w:numPr>
              <w:rPr>
                <w:rFonts w:ascii="Times New Roman" w:hAnsi="Times New Roman" w:cs="Times New Roman"/>
                <w:sz w:val="24"/>
                <w:szCs w:val="18"/>
              </w:rPr>
            </w:pPr>
            <w:r w:rsidRPr="00554098">
              <w:rPr>
                <w:rFonts w:ascii="Times New Roman" w:hAnsi="Times New Roman" w:cs="Times New Roman"/>
                <w:sz w:val="24"/>
                <w:szCs w:val="18"/>
              </w:rPr>
              <w:t xml:space="preserve">Complete data research to understand key risks and threats, both natural and human-caused, need to hire for corporate/company positions for managing emergencies and disasters in </w:t>
            </w:r>
            <w:r w:rsidR="004E0DE5">
              <w:rPr>
                <w:rFonts w:ascii="Times New Roman" w:hAnsi="Times New Roman" w:cs="Times New Roman"/>
                <w:sz w:val="24"/>
                <w:szCs w:val="18"/>
              </w:rPr>
              <w:t xml:space="preserve">the </w:t>
            </w:r>
            <w:r w:rsidRPr="00554098">
              <w:rPr>
                <w:rFonts w:ascii="Times New Roman" w:hAnsi="Times New Roman" w:cs="Times New Roman"/>
                <w:sz w:val="24"/>
                <w:szCs w:val="18"/>
              </w:rPr>
              <w:t>1st quarter.</w:t>
            </w:r>
          </w:p>
          <w:p w:rsidR="000122F7" w:rsidRPr="00554098" w:rsidRDefault="000122F7" w:rsidP="00D85D52">
            <w:pPr>
              <w:pStyle w:val="ListParagraph"/>
              <w:numPr>
                <w:ilvl w:val="0"/>
                <w:numId w:val="20"/>
              </w:numPr>
              <w:rPr>
                <w:rFonts w:ascii="Times New Roman" w:hAnsi="Times New Roman" w:cs="Times New Roman"/>
                <w:sz w:val="24"/>
                <w:szCs w:val="18"/>
              </w:rPr>
            </w:pPr>
            <w:r w:rsidRPr="00554098">
              <w:rPr>
                <w:rFonts w:ascii="Times New Roman" w:hAnsi="Times New Roman" w:cs="Times New Roman"/>
                <w:sz w:val="24"/>
                <w:szCs w:val="18"/>
              </w:rPr>
              <w:t xml:space="preserve">Complete design steps for Corporate EM </w:t>
            </w:r>
            <w:r w:rsidR="00FA6ACC">
              <w:rPr>
                <w:rFonts w:ascii="Times New Roman" w:hAnsi="Times New Roman" w:cs="Times New Roman"/>
                <w:sz w:val="24"/>
                <w:szCs w:val="18"/>
              </w:rPr>
              <w:t>curriculum.</w:t>
            </w:r>
          </w:p>
          <w:p w:rsidR="000122F7" w:rsidRPr="00554098" w:rsidRDefault="000122F7" w:rsidP="00EC5F48">
            <w:pPr>
              <w:pStyle w:val="ListParagraph"/>
              <w:numPr>
                <w:ilvl w:val="0"/>
                <w:numId w:val="25"/>
              </w:numPr>
              <w:rPr>
                <w:rFonts w:ascii="Times New Roman" w:hAnsi="Times New Roman" w:cs="Times New Roman"/>
                <w:sz w:val="24"/>
                <w:szCs w:val="18"/>
              </w:rPr>
            </w:pPr>
            <w:r w:rsidRPr="00554098">
              <w:rPr>
                <w:rFonts w:ascii="Times New Roman" w:hAnsi="Times New Roman" w:cs="Times New Roman"/>
                <w:sz w:val="24"/>
                <w:szCs w:val="18"/>
              </w:rPr>
              <w:lastRenderedPageBreak/>
              <w:t xml:space="preserve">Identify corporate culture types. </w:t>
            </w:r>
          </w:p>
          <w:p w:rsidR="000122F7" w:rsidRPr="00554098" w:rsidRDefault="000122F7" w:rsidP="00EC5F48">
            <w:pPr>
              <w:pStyle w:val="ListParagraph"/>
              <w:numPr>
                <w:ilvl w:val="0"/>
                <w:numId w:val="25"/>
              </w:numPr>
              <w:rPr>
                <w:rFonts w:ascii="Times New Roman" w:hAnsi="Times New Roman" w:cs="Times New Roman"/>
                <w:sz w:val="24"/>
                <w:szCs w:val="18"/>
              </w:rPr>
            </w:pPr>
            <w:r w:rsidRPr="00554098">
              <w:rPr>
                <w:rFonts w:ascii="Times New Roman" w:hAnsi="Times New Roman" w:cs="Times New Roman"/>
                <w:sz w:val="24"/>
                <w:szCs w:val="18"/>
              </w:rPr>
              <w:t xml:space="preserve">Identify the actual need or skills required to do the job. </w:t>
            </w:r>
          </w:p>
          <w:p w:rsidR="00554098" w:rsidRPr="00554098" w:rsidRDefault="000122F7" w:rsidP="00EC5F48">
            <w:pPr>
              <w:pStyle w:val="ListParagraph"/>
              <w:numPr>
                <w:ilvl w:val="0"/>
                <w:numId w:val="25"/>
              </w:numPr>
              <w:rPr>
                <w:rFonts w:ascii="Times New Roman" w:hAnsi="Times New Roman" w:cs="Times New Roman"/>
                <w:sz w:val="24"/>
                <w:szCs w:val="18"/>
              </w:rPr>
            </w:pPr>
            <w:r w:rsidRPr="00554098">
              <w:rPr>
                <w:rFonts w:ascii="Times New Roman" w:hAnsi="Times New Roman" w:cs="Times New Roman"/>
                <w:sz w:val="24"/>
                <w:szCs w:val="18"/>
              </w:rPr>
              <w:t>Develop strategies aligned with the culture and best practices.</w:t>
            </w:r>
          </w:p>
          <w:p w:rsidR="00554098" w:rsidRPr="00554098" w:rsidRDefault="000122F7" w:rsidP="00D85D52">
            <w:pPr>
              <w:pStyle w:val="ListParagraph"/>
              <w:numPr>
                <w:ilvl w:val="0"/>
                <w:numId w:val="20"/>
              </w:numPr>
              <w:rPr>
                <w:rFonts w:ascii="Times New Roman" w:hAnsi="Times New Roman" w:cs="Times New Roman"/>
                <w:sz w:val="24"/>
                <w:szCs w:val="18"/>
              </w:rPr>
            </w:pPr>
            <w:r w:rsidRPr="00554098">
              <w:rPr>
                <w:rFonts w:ascii="Times New Roman" w:hAnsi="Times New Roman" w:cs="Times New Roman"/>
                <w:sz w:val="24"/>
                <w:szCs w:val="18"/>
              </w:rPr>
              <w:t xml:space="preserve">Complete </w:t>
            </w:r>
            <w:r w:rsidR="00CA5F9D">
              <w:rPr>
                <w:rFonts w:ascii="Times New Roman" w:hAnsi="Times New Roman" w:cs="Times New Roman"/>
                <w:sz w:val="24"/>
                <w:szCs w:val="18"/>
              </w:rPr>
              <w:t xml:space="preserve">and review </w:t>
            </w:r>
            <w:r w:rsidRPr="00554098">
              <w:rPr>
                <w:rFonts w:ascii="Times New Roman" w:hAnsi="Times New Roman" w:cs="Times New Roman"/>
                <w:sz w:val="24"/>
                <w:szCs w:val="18"/>
              </w:rPr>
              <w:t xml:space="preserve">curriculum by 2nd quarter. </w:t>
            </w:r>
          </w:p>
          <w:p w:rsidR="00554098" w:rsidRPr="00554098" w:rsidRDefault="000122F7" w:rsidP="00D85D52">
            <w:pPr>
              <w:pStyle w:val="ListParagraph"/>
              <w:numPr>
                <w:ilvl w:val="0"/>
                <w:numId w:val="20"/>
              </w:numPr>
              <w:rPr>
                <w:rFonts w:ascii="Times New Roman" w:hAnsi="Times New Roman" w:cs="Times New Roman"/>
                <w:sz w:val="24"/>
                <w:szCs w:val="18"/>
              </w:rPr>
            </w:pPr>
            <w:r w:rsidRPr="00554098">
              <w:rPr>
                <w:rFonts w:ascii="Times New Roman" w:hAnsi="Times New Roman" w:cs="Times New Roman"/>
                <w:sz w:val="24"/>
                <w:szCs w:val="18"/>
              </w:rPr>
              <w:t>Create a Career Skills Guide for Corpora</w:t>
            </w:r>
            <w:r w:rsidR="00CA5F9D">
              <w:rPr>
                <w:rFonts w:ascii="Times New Roman" w:hAnsi="Times New Roman" w:cs="Times New Roman"/>
                <w:sz w:val="24"/>
                <w:szCs w:val="18"/>
              </w:rPr>
              <w:t xml:space="preserve">te/Business hiring authorities and publish </w:t>
            </w:r>
            <w:r w:rsidR="004E0DE5">
              <w:rPr>
                <w:rFonts w:ascii="Times New Roman" w:hAnsi="Times New Roman" w:cs="Times New Roman"/>
                <w:sz w:val="24"/>
                <w:szCs w:val="18"/>
              </w:rPr>
              <w:t xml:space="preserve">it </w:t>
            </w:r>
            <w:r w:rsidR="00CA5F9D">
              <w:rPr>
                <w:rFonts w:ascii="Times New Roman" w:hAnsi="Times New Roman" w:cs="Times New Roman"/>
                <w:sz w:val="24"/>
                <w:szCs w:val="18"/>
              </w:rPr>
              <w:t>on Confluence and other industry contact lists and networks.</w:t>
            </w:r>
          </w:p>
          <w:p w:rsidR="00F05508" w:rsidRPr="00CA5F9D" w:rsidRDefault="000122F7" w:rsidP="00D85D52">
            <w:pPr>
              <w:pStyle w:val="ListParagraph"/>
              <w:numPr>
                <w:ilvl w:val="0"/>
                <w:numId w:val="20"/>
              </w:numPr>
              <w:rPr>
                <w:sz w:val="18"/>
                <w:szCs w:val="18"/>
              </w:rPr>
            </w:pPr>
            <w:r w:rsidRPr="00554098">
              <w:rPr>
                <w:rFonts w:ascii="Times New Roman" w:hAnsi="Times New Roman" w:cs="Times New Roman"/>
                <w:sz w:val="24"/>
                <w:szCs w:val="18"/>
              </w:rPr>
              <w:t>Complete in 3rd quarter of the year.</w:t>
            </w:r>
          </w:p>
          <w:p w:rsidR="00CA5F9D" w:rsidRPr="00554098" w:rsidRDefault="00CA5F9D" w:rsidP="00D85D52">
            <w:pPr>
              <w:pStyle w:val="ListParagraph"/>
              <w:numPr>
                <w:ilvl w:val="0"/>
                <w:numId w:val="20"/>
              </w:numPr>
              <w:rPr>
                <w:sz w:val="18"/>
                <w:szCs w:val="18"/>
              </w:rPr>
            </w:pPr>
            <w:r>
              <w:rPr>
                <w:rFonts w:ascii="Times New Roman" w:hAnsi="Times New Roman" w:cs="Times New Roman"/>
                <w:sz w:val="24"/>
                <w:szCs w:val="18"/>
              </w:rPr>
              <w:t xml:space="preserve">Review comments and identify additional action items by </w:t>
            </w:r>
            <w:r w:rsidR="004E0DE5">
              <w:rPr>
                <w:rFonts w:ascii="Times New Roman" w:hAnsi="Times New Roman" w:cs="Times New Roman"/>
                <w:sz w:val="24"/>
                <w:szCs w:val="18"/>
              </w:rPr>
              <w:t xml:space="preserve">the </w:t>
            </w:r>
            <w:r>
              <w:rPr>
                <w:rFonts w:ascii="Times New Roman" w:hAnsi="Times New Roman" w:cs="Times New Roman"/>
                <w:sz w:val="24"/>
                <w:szCs w:val="18"/>
              </w:rPr>
              <w:t>4</w:t>
            </w:r>
            <w:r w:rsidRPr="00CA5F9D">
              <w:rPr>
                <w:rFonts w:ascii="Times New Roman" w:hAnsi="Times New Roman" w:cs="Times New Roman"/>
                <w:sz w:val="24"/>
                <w:szCs w:val="18"/>
                <w:vertAlign w:val="superscript"/>
              </w:rPr>
              <w:t>th</w:t>
            </w:r>
            <w:r>
              <w:rPr>
                <w:rFonts w:ascii="Times New Roman" w:hAnsi="Times New Roman" w:cs="Times New Roman"/>
                <w:sz w:val="24"/>
                <w:szCs w:val="18"/>
              </w:rPr>
              <w:t xml:space="preserve"> quarter.</w:t>
            </w:r>
          </w:p>
        </w:tc>
      </w:tr>
      <w:tr w:rsidR="00AC0856" w:rsidRPr="00720C2F" w:rsidTr="000A421F">
        <w:trPr>
          <w:gridAfter w:val="1"/>
          <w:wAfter w:w="222" w:type="dxa"/>
          <w:trHeight w:val="351"/>
        </w:trPr>
        <w:tc>
          <w:tcPr>
            <w:tcW w:w="1467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AC0856" w:rsidRPr="00720C2F" w:rsidRDefault="00AC0856" w:rsidP="002478F1">
            <w:pPr>
              <w:spacing w:line="312" w:lineRule="auto"/>
              <w:jc w:val="center"/>
              <w:rPr>
                <w:b/>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1</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2</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3</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4</w:t>
            </w:r>
          </w:p>
        </w:tc>
        <w:tc>
          <w:tcPr>
            <w:tcW w:w="12222" w:type="dxa"/>
            <w:gridSpan w:val="3"/>
            <w:tcBorders>
              <w:left w:val="single" w:sz="4" w:space="0" w:color="auto"/>
              <w:bottom w:val="single" w:sz="4" w:space="0" w:color="auto"/>
              <w:right w:val="single" w:sz="18" w:space="0" w:color="auto"/>
            </w:tcBorders>
            <w:vAlign w:val="center"/>
          </w:tcPr>
          <w:p w:rsidR="00AC0856" w:rsidRPr="00A862C1" w:rsidRDefault="00AC0856" w:rsidP="002478F1">
            <w:pPr>
              <w:spacing w:line="312" w:lineRule="auto"/>
              <w:rPr>
                <w:sz w:val="18"/>
              </w:rPr>
            </w:pPr>
          </w:p>
        </w:tc>
      </w:tr>
      <w:tr w:rsidR="00F63A00"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F63A00" w:rsidRPr="00720C2F" w:rsidRDefault="00554098" w:rsidP="002478F1">
            <w:pPr>
              <w:rPr>
                <w:b/>
              </w:rPr>
            </w:pPr>
            <w:r>
              <w:rPr>
                <w:b/>
              </w:rPr>
              <w:t>Analysis Q1</w:t>
            </w:r>
          </w:p>
        </w:tc>
        <w:tc>
          <w:tcPr>
            <w:tcW w:w="12222" w:type="dxa"/>
            <w:gridSpan w:val="3"/>
            <w:tcBorders>
              <w:left w:val="single" w:sz="4" w:space="0" w:color="auto"/>
              <w:bottom w:val="single" w:sz="4" w:space="0" w:color="auto"/>
              <w:right w:val="single" w:sz="18" w:space="0" w:color="auto"/>
            </w:tcBorders>
            <w:vAlign w:val="center"/>
          </w:tcPr>
          <w:p w:rsidR="00F63A00" w:rsidRPr="00A862C1" w:rsidRDefault="00F63A00" w:rsidP="002478F1">
            <w:pPr>
              <w:spacing w:line="312" w:lineRule="auto"/>
              <w:rPr>
                <w:sz w:val="18"/>
              </w:rPr>
            </w:pPr>
          </w:p>
        </w:tc>
      </w:tr>
      <w:tr w:rsidR="00554098"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554098" w:rsidRDefault="00554098" w:rsidP="002478F1">
            <w:pPr>
              <w:rPr>
                <w:b/>
              </w:rPr>
            </w:pPr>
            <w:r>
              <w:rPr>
                <w:b/>
              </w:rPr>
              <w:t>Analysis Q2</w:t>
            </w:r>
          </w:p>
        </w:tc>
        <w:tc>
          <w:tcPr>
            <w:tcW w:w="12222" w:type="dxa"/>
            <w:gridSpan w:val="3"/>
            <w:tcBorders>
              <w:left w:val="single" w:sz="4" w:space="0" w:color="auto"/>
              <w:bottom w:val="single" w:sz="4" w:space="0" w:color="auto"/>
              <w:right w:val="single" w:sz="18" w:space="0" w:color="auto"/>
            </w:tcBorders>
            <w:vAlign w:val="center"/>
          </w:tcPr>
          <w:p w:rsidR="00554098" w:rsidRPr="00A862C1" w:rsidRDefault="00554098" w:rsidP="002478F1">
            <w:pPr>
              <w:spacing w:line="312" w:lineRule="auto"/>
              <w:rPr>
                <w:sz w:val="18"/>
              </w:rPr>
            </w:pPr>
          </w:p>
        </w:tc>
      </w:tr>
      <w:tr w:rsidR="00554098"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554098" w:rsidRDefault="00554098" w:rsidP="002478F1">
            <w:pPr>
              <w:rPr>
                <w:b/>
              </w:rPr>
            </w:pPr>
            <w:r>
              <w:rPr>
                <w:b/>
              </w:rPr>
              <w:t>Analysis Q3</w:t>
            </w:r>
          </w:p>
        </w:tc>
        <w:tc>
          <w:tcPr>
            <w:tcW w:w="12222" w:type="dxa"/>
            <w:gridSpan w:val="3"/>
            <w:tcBorders>
              <w:left w:val="single" w:sz="4" w:space="0" w:color="auto"/>
              <w:bottom w:val="single" w:sz="4" w:space="0" w:color="auto"/>
              <w:right w:val="single" w:sz="18" w:space="0" w:color="auto"/>
            </w:tcBorders>
            <w:vAlign w:val="center"/>
          </w:tcPr>
          <w:p w:rsidR="00554098" w:rsidRPr="00A862C1" w:rsidRDefault="00554098" w:rsidP="002478F1">
            <w:pPr>
              <w:spacing w:line="312" w:lineRule="auto"/>
              <w:rPr>
                <w:sz w:val="18"/>
              </w:rPr>
            </w:pPr>
          </w:p>
        </w:tc>
      </w:tr>
      <w:tr w:rsidR="00554098"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554098" w:rsidRDefault="00554098" w:rsidP="002478F1">
            <w:pPr>
              <w:rPr>
                <w:b/>
              </w:rPr>
            </w:pPr>
            <w:r>
              <w:rPr>
                <w:b/>
              </w:rPr>
              <w:t>Analysis Q4</w:t>
            </w:r>
          </w:p>
        </w:tc>
        <w:tc>
          <w:tcPr>
            <w:tcW w:w="12222" w:type="dxa"/>
            <w:gridSpan w:val="3"/>
            <w:tcBorders>
              <w:left w:val="single" w:sz="4" w:space="0" w:color="auto"/>
              <w:bottom w:val="single" w:sz="4" w:space="0" w:color="auto"/>
              <w:right w:val="single" w:sz="18" w:space="0" w:color="auto"/>
            </w:tcBorders>
            <w:vAlign w:val="center"/>
          </w:tcPr>
          <w:p w:rsidR="00914845" w:rsidRDefault="00914845" w:rsidP="002478F1">
            <w:pPr>
              <w:spacing w:line="312" w:lineRule="auto"/>
              <w:rPr>
                <w:sz w:val="18"/>
              </w:rPr>
            </w:pPr>
          </w:p>
          <w:p w:rsidR="00914845" w:rsidRDefault="00914845" w:rsidP="002478F1">
            <w:pPr>
              <w:spacing w:line="312" w:lineRule="auto"/>
              <w:rPr>
                <w:sz w:val="18"/>
              </w:rPr>
            </w:pPr>
          </w:p>
          <w:p w:rsidR="00914845" w:rsidRDefault="00914845" w:rsidP="002478F1">
            <w:pPr>
              <w:spacing w:line="312" w:lineRule="auto"/>
              <w:rPr>
                <w:sz w:val="18"/>
              </w:rPr>
            </w:pPr>
          </w:p>
          <w:p w:rsidR="00914845" w:rsidRDefault="00914845" w:rsidP="002478F1">
            <w:pPr>
              <w:spacing w:line="312" w:lineRule="auto"/>
              <w:rPr>
                <w:sz w:val="18"/>
              </w:rPr>
            </w:pPr>
          </w:p>
          <w:p w:rsidR="00914845" w:rsidRDefault="00914845" w:rsidP="002478F1">
            <w:pPr>
              <w:spacing w:line="312" w:lineRule="auto"/>
              <w:rPr>
                <w:sz w:val="18"/>
              </w:rPr>
            </w:pPr>
          </w:p>
          <w:p w:rsidR="00914845" w:rsidRDefault="00914845" w:rsidP="002478F1">
            <w:pPr>
              <w:spacing w:line="312" w:lineRule="auto"/>
              <w:rPr>
                <w:sz w:val="18"/>
              </w:rPr>
            </w:pPr>
          </w:p>
          <w:p w:rsidR="00914845" w:rsidRPr="00A862C1" w:rsidRDefault="00914845" w:rsidP="002478F1">
            <w:pPr>
              <w:spacing w:line="312" w:lineRule="auto"/>
              <w:rPr>
                <w:sz w:val="18"/>
              </w:rPr>
            </w:pPr>
          </w:p>
        </w:tc>
      </w:tr>
      <w:tr w:rsidR="00AC0856" w:rsidRPr="00720C2F" w:rsidTr="000A421F">
        <w:trPr>
          <w:gridAfter w:val="1"/>
          <w:wAfter w:w="222"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AC0856" w:rsidRPr="00720C2F" w:rsidRDefault="00AC0856" w:rsidP="00F63A00">
            <w:pPr>
              <w:rPr>
                <w:b/>
              </w:rPr>
            </w:pPr>
            <w:r w:rsidRPr="002D2ACF">
              <w:rPr>
                <w:b/>
              </w:rPr>
              <w:lastRenderedPageBreak/>
              <w:br w:type="page"/>
              <w:t>Core Expectations</w:t>
            </w:r>
            <w:r>
              <w:br w:type="page"/>
            </w:r>
          </w:p>
        </w:tc>
        <w:tc>
          <w:tcPr>
            <w:tcW w:w="12222" w:type="dxa"/>
            <w:gridSpan w:val="3"/>
            <w:tcBorders>
              <w:top w:val="single" w:sz="18" w:space="0" w:color="auto"/>
              <w:right w:val="single" w:sz="18" w:space="0" w:color="auto"/>
            </w:tcBorders>
            <w:shd w:val="clear" w:color="auto" w:fill="D9D9D9" w:themeFill="background1" w:themeFillShade="D9"/>
            <w:vAlign w:val="center"/>
          </w:tcPr>
          <w:p w:rsidR="00AC0856" w:rsidRDefault="00AC0856" w:rsidP="002478F1">
            <w:pPr>
              <w:jc w:val="center"/>
              <w:rPr>
                <w:b/>
              </w:rPr>
            </w:pPr>
            <w:r w:rsidRPr="00720C2F">
              <w:rPr>
                <w:b/>
              </w:rPr>
              <w:t>Activity</w:t>
            </w:r>
            <w:r w:rsidR="00581813">
              <w:rPr>
                <w:b/>
              </w:rPr>
              <w:t xml:space="preserve"> #4</w:t>
            </w:r>
          </w:p>
          <w:p w:rsidR="00581813" w:rsidRPr="00720C2F" w:rsidRDefault="00581813" w:rsidP="002478F1">
            <w:pPr>
              <w:jc w:val="center"/>
              <w:rPr>
                <w:b/>
              </w:rPr>
            </w:pPr>
          </w:p>
        </w:tc>
      </w:tr>
      <w:tr w:rsidR="00AC0856" w:rsidRPr="00A862C1" w:rsidTr="000A421F">
        <w:trPr>
          <w:gridAfter w:val="1"/>
          <w:wAfter w:w="222" w:type="dxa"/>
          <w:trHeight w:val="775"/>
        </w:trPr>
        <w:tc>
          <w:tcPr>
            <w:tcW w:w="2448" w:type="dxa"/>
            <w:tcBorders>
              <w:left w:val="single" w:sz="18" w:space="0" w:color="auto"/>
            </w:tcBorders>
            <w:vAlign w:val="center"/>
          </w:tcPr>
          <w:p w:rsidR="00AC0856" w:rsidRPr="00AB534E" w:rsidRDefault="00B02586" w:rsidP="002478F1">
            <w:pPr>
              <w:tabs>
                <w:tab w:val="left" w:pos="360"/>
              </w:tabs>
              <w:spacing w:line="480" w:lineRule="auto"/>
              <w:rPr>
                <w:sz w:val="16"/>
              </w:rPr>
            </w:pPr>
            <w:sdt>
              <w:sdtPr>
                <w:rPr>
                  <w:sz w:val="16"/>
                </w:rPr>
                <w:id w:val="147252941"/>
                <w14:checkbox>
                  <w14:checked w14:val="0"/>
                  <w14:checkedState w14:val="2612" w14:font="MS Gothic"/>
                  <w14:uncheckedState w14:val="2610" w14:font="MS Gothic"/>
                </w14:checkbox>
              </w:sdtPr>
              <w:sdtEndPr/>
              <w:sdtContent>
                <w:r w:rsidR="00120E68">
                  <w:rPr>
                    <w:rFonts w:ascii="MS Gothic" w:eastAsia="MS Gothic" w:hAnsi="MS Gothic" w:hint="eastAsia"/>
                    <w:sz w:val="16"/>
                  </w:rPr>
                  <w:t>☐</w:t>
                </w:r>
              </w:sdtContent>
            </w:sdt>
            <w:r w:rsidR="00AC0856">
              <w:rPr>
                <w:sz w:val="16"/>
              </w:rPr>
              <w:t xml:space="preserve"> </w:t>
            </w:r>
            <w:r w:rsidR="00AC0856" w:rsidRPr="00AB534E">
              <w:rPr>
                <w:sz w:val="16"/>
              </w:rPr>
              <w:t>Economic Development</w:t>
            </w:r>
          </w:p>
          <w:p w:rsidR="00AC0856" w:rsidRPr="00AB534E" w:rsidRDefault="00B02586" w:rsidP="002478F1">
            <w:pPr>
              <w:tabs>
                <w:tab w:val="left" w:pos="360"/>
              </w:tabs>
              <w:spacing w:line="480" w:lineRule="auto"/>
              <w:rPr>
                <w:sz w:val="16"/>
              </w:rPr>
            </w:pPr>
            <w:sdt>
              <w:sdtPr>
                <w:rPr>
                  <w:sz w:val="16"/>
                </w:rPr>
                <w:id w:val="-1470037307"/>
                <w14:checkbox>
                  <w14:checked w14:val="0"/>
                  <w14:checkedState w14:val="2612" w14:font="MS Gothic"/>
                  <w14:uncheckedState w14:val="2610" w14:font="MS Gothic"/>
                </w14:checkbox>
              </w:sdtPr>
              <w:sdtEndPr/>
              <w:sdtContent>
                <w:r w:rsidR="00AC0856">
                  <w:rPr>
                    <w:rFonts w:ascii="MS Gothic" w:eastAsia="MS Gothic" w:hAnsi="MS Gothic" w:hint="eastAsia"/>
                    <w:sz w:val="16"/>
                  </w:rPr>
                  <w:t>☐</w:t>
                </w:r>
              </w:sdtContent>
            </w:sdt>
            <w:r w:rsidR="00AC0856">
              <w:rPr>
                <w:sz w:val="16"/>
              </w:rPr>
              <w:t xml:space="preserve"> </w:t>
            </w:r>
            <w:r w:rsidR="00AC0856" w:rsidRPr="00AB534E">
              <w:rPr>
                <w:sz w:val="16"/>
              </w:rPr>
              <w:t>Sector Strategy</w:t>
            </w:r>
          </w:p>
          <w:p w:rsidR="00AC0856" w:rsidRPr="00AB534E" w:rsidRDefault="00B02586" w:rsidP="002478F1">
            <w:pPr>
              <w:tabs>
                <w:tab w:val="left" w:pos="360"/>
              </w:tabs>
              <w:spacing w:line="480" w:lineRule="auto"/>
              <w:rPr>
                <w:sz w:val="16"/>
              </w:rPr>
            </w:pPr>
            <w:sdt>
              <w:sdtPr>
                <w:rPr>
                  <w:sz w:val="16"/>
                </w:rPr>
                <w:id w:val="-1843929414"/>
                <w14:checkbox>
                  <w14:checked w14:val="1"/>
                  <w14:checkedState w14:val="2612" w14:font="MS Gothic"/>
                  <w14:uncheckedState w14:val="2610" w14:font="MS Gothic"/>
                </w14:checkbox>
              </w:sdtPr>
              <w:sdtEndPr/>
              <w:sdtContent>
                <w:r w:rsidR="002B0A24">
                  <w:rPr>
                    <w:rFonts w:ascii="MS Gothic" w:eastAsia="MS Gothic" w:hAnsi="MS Gothic" w:hint="eastAsia"/>
                    <w:sz w:val="16"/>
                  </w:rPr>
                  <w:t>☒</w:t>
                </w:r>
              </w:sdtContent>
            </w:sdt>
            <w:r w:rsidR="00AC0856" w:rsidRPr="00AB534E">
              <w:rPr>
                <w:sz w:val="16"/>
              </w:rPr>
              <w:t xml:space="preserve"> Ed/Innovation/Efficiency</w:t>
            </w:r>
          </w:p>
          <w:p w:rsidR="00AC0856" w:rsidRDefault="00B02586" w:rsidP="002478F1">
            <w:pPr>
              <w:tabs>
                <w:tab w:val="left" w:pos="360"/>
              </w:tabs>
              <w:spacing w:line="480" w:lineRule="auto"/>
              <w:rPr>
                <w:sz w:val="16"/>
              </w:rPr>
            </w:pPr>
            <w:sdt>
              <w:sdtPr>
                <w:rPr>
                  <w:sz w:val="16"/>
                </w:rPr>
                <w:id w:val="-89697556"/>
                <w14:checkbox>
                  <w14:checked w14:val="1"/>
                  <w14:checkedState w14:val="2612" w14:font="MS Gothic"/>
                  <w14:uncheckedState w14:val="2610" w14:font="MS Gothic"/>
                </w14:checkbox>
              </w:sdtPr>
              <w:sdtEndPr/>
              <w:sdtContent>
                <w:r w:rsidR="002B0A24">
                  <w:rPr>
                    <w:rFonts w:ascii="MS Gothic" w:eastAsia="MS Gothic" w:hAnsi="MS Gothic" w:hint="eastAsia"/>
                    <w:sz w:val="16"/>
                  </w:rPr>
                  <w:t>☒</w:t>
                </w:r>
              </w:sdtContent>
            </w:sdt>
            <w:r w:rsidR="00AC0856" w:rsidRPr="00AB534E">
              <w:rPr>
                <w:sz w:val="16"/>
              </w:rPr>
              <w:t xml:space="preserve"> Supply/Demand</w:t>
            </w:r>
          </w:p>
          <w:p w:rsidR="00AC0856" w:rsidRDefault="00B02586" w:rsidP="002478F1">
            <w:pPr>
              <w:tabs>
                <w:tab w:val="left" w:pos="360"/>
              </w:tabs>
              <w:spacing w:line="480" w:lineRule="auto"/>
            </w:pPr>
            <w:sdt>
              <w:sdtPr>
                <w:rPr>
                  <w:sz w:val="16"/>
                </w:rPr>
                <w:id w:val="-2117283325"/>
                <w14:checkbox>
                  <w14:checked w14:val="1"/>
                  <w14:checkedState w14:val="2612" w14:font="MS Gothic"/>
                  <w14:uncheckedState w14:val="2610" w14:font="MS Gothic"/>
                </w14:checkbox>
              </w:sdtPr>
              <w:sdtEndPr/>
              <w:sdtContent>
                <w:r w:rsidR="002B0A24">
                  <w:rPr>
                    <w:rFonts w:ascii="MS Gothic" w:eastAsia="MS Gothic" w:hAnsi="MS Gothic" w:hint="eastAsia"/>
                    <w:sz w:val="16"/>
                  </w:rPr>
                  <w:t>☒</w:t>
                </w:r>
              </w:sdtContent>
            </w:sdt>
            <w:r w:rsidR="00AC0856" w:rsidRPr="00AB534E">
              <w:rPr>
                <w:sz w:val="16"/>
              </w:rPr>
              <w:t xml:space="preserve"> </w:t>
            </w:r>
            <w:r w:rsidR="00AC0856">
              <w:rPr>
                <w:sz w:val="16"/>
              </w:rPr>
              <w:t>Equity &amp; Access</w:t>
            </w:r>
          </w:p>
        </w:tc>
        <w:tc>
          <w:tcPr>
            <w:tcW w:w="12222" w:type="dxa"/>
            <w:gridSpan w:val="3"/>
            <w:tcBorders>
              <w:right w:val="single" w:sz="18" w:space="0" w:color="auto"/>
            </w:tcBorders>
          </w:tcPr>
          <w:p w:rsidR="00554098" w:rsidRPr="00554098" w:rsidRDefault="00554098" w:rsidP="00BA7CA2">
            <w:pPr>
              <w:spacing w:line="312" w:lineRule="auto"/>
              <w:rPr>
                <w:rFonts w:ascii="Times New Roman" w:hAnsi="Times New Roman" w:cs="Times New Roman"/>
                <w:sz w:val="24"/>
                <w:szCs w:val="24"/>
              </w:rPr>
            </w:pPr>
            <w:r w:rsidRPr="00554098">
              <w:rPr>
                <w:rFonts w:ascii="Times New Roman" w:hAnsi="Times New Roman" w:cs="Times New Roman"/>
                <w:b/>
                <w:sz w:val="24"/>
                <w:szCs w:val="24"/>
              </w:rPr>
              <w:t>Work Experience Market Place- Mentorships, Coaching, and Job Shadowing Opportunities</w:t>
            </w:r>
          </w:p>
          <w:p w:rsidR="00554098" w:rsidRPr="00554098" w:rsidRDefault="00554098" w:rsidP="00BA7CA2">
            <w:pPr>
              <w:spacing w:line="312" w:lineRule="auto"/>
              <w:rPr>
                <w:rFonts w:ascii="Times New Roman" w:hAnsi="Times New Roman" w:cs="Times New Roman"/>
                <w:sz w:val="24"/>
                <w:szCs w:val="24"/>
              </w:rPr>
            </w:pPr>
          </w:p>
          <w:p w:rsidR="00197B43" w:rsidRDefault="00554098" w:rsidP="00554098">
            <w:pPr>
              <w:pStyle w:val="NoSpacing"/>
              <w:rPr>
                <w:rFonts w:ascii="Times New Roman" w:hAnsi="Times New Roman" w:cs="Times New Roman"/>
              </w:rPr>
            </w:pPr>
            <w:r w:rsidRPr="00554098">
              <w:rPr>
                <w:rFonts w:ascii="Times New Roman" w:hAnsi="Times New Roman" w:cs="Times New Roman"/>
                <w:sz w:val="24"/>
                <w:szCs w:val="24"/>
              </w:rPr>
              <w:t>Develop 20 (five per quarter) experiential learning opportunities, e.g., internships and mentorships, for students in all-hazard HSEM programs which includes a strategy that aligns w/mission of DEIA initiatives and connects employers/students, directly reducing barriers to participation in the work experience marketplace. Continue with the Women in Leadership Profile series for Confluence News Magazine.</w:t>
            </w:r>
            <w:r w:rsidR="00BA7CA2">
              <w:t xml:space="preserve"> </w:t>
            </w:r>
            <w:r w:rsidR="00494CE1">
              <w:rPr>
                <w:rFonts w:ascii="Times New Roman" w:hAnsi="Times New Roman" w:cs="Times New Roman"/>
              </w:rPr>
              <w:t>Continue to support several activities related to Career Connect and help K-12 students, their parents, and high s</w:t>
            </w:r>
            <w:r w:rsidR="00B319A4">
              <w:rPr>
                <w:rFonts w:ascii="Times New Roman" w:hAnsi="Times New Roman" w:cs="Times New Roman"/>
              </w:rPr>
              <w:t>chool and college staff/faculty to</w:t>
            </w:r>
            <w:r w:rsidR="00494CE1">
              <w:rPr>
                <w:rFonts w:ascii="Times New Roman" w:hAnsi="Times New Roman" w:cs="Times New Roman"/>
              </w:rPr>
              <w:t xml:space="preserve"> navigate the dual credit, career and technical education (CTE) pathway. </w:t>
            </w:r>
          </w:p>
          <w:p w:rsidR="00197B43" w:rsidRDefault="00197B43" w:rsidP="00554098">
            <w:pPr>
              <w:pStyle w:val="NoSpacing"/>
              <w:rPr>
                <w:rFonts w:ascii="Times New Roman" w:hAnsi="Times New Roman" w:cs="Times New Roman"/>
              </w:rPr>
            </w:pPr>
          </w:p>
          <w:p w:rsidR="00BA7CA2" w:rsidRPr="00494CE1" w:rsidRDefault="00494CE1" w:rsidP="004E0DE5">
            <w:pPr>
              <w:pStyle w:val="NoSpacing"/>
              <w:rPr>
                <w:rFonts w:ascii="Times New Roman" w:hAnsi="Times New Roman" w:cs="Times New Roman"/>
                <w:sz w:val="18"/>
              </w:rPr>
            </w:pPr>
            <w:r w:rsidRPr="00197B43">
              <w:rPr>
                <w:rFonts w:ascii="Times New Roman" w:hAnsi="Times New Roman" w:cs="Times New Roman"/>
              </w:rPr>
              <w:t>The Ce</w:t>
            </w:r>
            <w:r w:rsidR="004E0DE5">
              <w:rPr>
                <w:rFonts w:ascii="Times New Roman" w:hAnsi="Times New Roman" w:cs="Times New Roman"/>
              </w:rPr>
              <w:t>nter and Pierce College partners</w:t>
            </w:r>
            <w:r w:rsidRPr="00197B43">
              <w:rPr>
                <w:rFonts w:ascii="Times New Roman" w:hAnsi="Times New Roman" w:cs="Times New Roman"/>
              </w:rPr>
              <w:t xml:space="preserve"> on a project </w:t>
            </w:r>
            <w:r w:rsidR="004E0DE5">
              <w:rPr>
                <w:rFonts w:ascii="Times New Roman" w:hAnsi="Times New Roman" w:cs="Times New Roman"/>
              </w:rPr>
              <w:t>involving</w:t>
            </w:r>
            <w:r w:rsidRPr="00197B43">
              <w:rPr>
                <w:rFonts w:ascii="Times New Roman" w:hAnsi="Times New Roman" w:cs="Times New Roman"/>
              </w:rPr>
              <w:t xml:space="preserve"> Pierce County Career</w:t>
            </w:r>
            <w:r w:rsidR="004E0DE5">
              <w:rPr>
                <w:rFonts w:ascii="Times New Roman" w:hAnsi="Times New Roman" w:cs="Times New Roman"/>
              </w:rPr>
              <w:t>s</w:t>
            </w:r>
            <w:r w:rsidRPr="00197B43">
              <w:rPr>
                <w:rFonts w:ascii="Times New Roman" w:hAnsi="Times New Roman" w:cs="Times New Roman"/>
              </w:rPr>
              <w:t xml:space="preserve"> Connect</w:t>
            </w:r>
            <w:r w:rsidR="004E0DE5">
              <w:rPr>
                <w:rFonts w:ascii="Times New Roman" w:hAnsi="Times New Roman" w:cs="Times New Roman"/>
              </w:rPr>
              <w:t>ion</w:t>
            </w:r>
            <w:r w:rsidRPr="00197B43">
              <w:rPr>
                <w:rFonts w:ascii="Times New Roman" w:hAnsi="Times New Roman" w:cs="Times New Roman"/>
              </w:rPr>
              <w:t xml:space="preserve"> (PC3)</w:t>
            </w:r>
            <w:r w:rsidR="004E0DE5">
              <w:rPr>
                <w:rFonts w:ascii="Times New Roman" w:hAnsi="Times New Roman" w:cs="Times New Roman"/>
              </w:rPr>
              <w:t xml:space="preserve">, building a new </w:t>
            </w:r>
            <w:r w:rsidRPr="00197B43">
              <w:rPr>
                <w:rFonts w:ascii="Times New Roman" w:hAnsi="Times New Roman" w:cs="Times New Roman"/>
              </w:rPr>
              <w:t>website </w:t>
            </w:r>
            <w:r w:rsidR="004E0DE5">
              <w:rPr>
                <w:rFonts w:ascii="Times New Roman" w:hAnsi="Times New Roman" w:cs="Times New Roman"/>
              </w:rPr>
              <w:t>(</w:t>
            </w:r>
            <w:hyperlink r:id="rId11" w:history="1">
              <w:r w:rsidRPr="00197B43">
                <w:rPr>
                  <w:rStyle w:val="Hyperlink"/>
                  <w:rFonts w:ascii="Times New Roman" w:hAnsi="Times New Roman" w:cs="Times New Roman"/>
                  <w:color w:val="auto"/>
                </w:rPr>
                <w:t>https://pc3dualcredit.org/</w:t>
              </w:r>
            </w:hyperlink>
            <w:r w:rsidR="004E0DE5">
              <w:rPr>
                <w:rStyle w:val="Hyperlink"/>
                <w:rFonts w:ascii="Times New Roman" w:hAnsi="Times New Roman" w:cs="Times New Roman"/>
                <w:color w:val="auto"/>
              </w:rPr>
              <w:t>)</w:t>
            </w:r>
            <w:r w:rsidRPr="00197B43">
              <w:rPr>
                <w:rFonts w:ascii="Times New Roman" w:hAnsi="Times New Roman" w:cs="Times New Roman"/>
              </w:rPr>
              <w:t xml:space="preserve"> w</w:t>
            </w:r>
            <w:r w:rsidR="004E0DE5">
              <w:rPr>
                <w:rFonts w:ascii="Times New Roman" w:hAnsi="Times New Roman" w:cs="Times New Roman"/>
              </w:rPr>
              <w:t>hich launched in June 2022.</w:t>
            </w:r>
            <w:r w:rsidRPr="00197B43">
              <w:rPr>
                <w:rFonts w:ascii="Times New Roman" w:hAnsi="Times New Roman" w:cs="Times New Roman"/>
              </w:rPr>
              <w:t xml:space="preserve"> </w:t>
            </w:r>
            <w:r w:rsidR="00975EA1">
              <w:rPr>
                <w:rFonts w:ascii="Times New Roman" w:hAnsi="Times New Roman" w:cs="Times New Roman"/>
              </w:rPr>
              <w:t>Last year, over 9,800 students in the consortium earned over 41,232 FREE College Credits through the CTE Dual Credit program. </w:t>
            </w:r>
            <w:r w:rsidR="00F4717D">
              <w:rPr>
                <w:rFonts w:ascii="Times New Roman" w:hAnsi="Times New Roman" w:cs="Times New Roman"/>
              </w:rPr>
              <w:t>PC3 consortium develops and maintains articulation agreements between high school CTE programs a</w:t>
            </w:r>
            <w:r w:rsidR="004E0DE5">
              <w:rPr>
                <w:rFonts w:ascii="Times New Roman" w:hAnsi="Times New Roman" w:cs="Times New Roman"/>
              </w:rPr>
              <w:t>nd college equivalent courses.</w:t>
            </w:r>
            <w:r w:rsidR="00975EA1">
              <w:rPr>
                <w:rFonts w:ascii="Times New Roman" w:hAnsi="Times New Roman" w:cs="Times New Roman"/>
              </w:rPr>
              <w:t xml:space="preserve"> The new website</w:t>
            </w:r>
            <w:r w:rsidR="00975EA1">
              <w:rPr>
                <w:rFonts w:ascii="Times New Roman" w:hAnsi="Times New Roman" w:cs="Times New Roman"/>
                <w:color w:val="1F497D"/>
              </w:rPr>
              <w:t xml:space="preserve"> </w:t>
            </w:r>
            <w:hyperlink r:id="rId12" w:history="1">
              <w:r w:rsidR="00975EA1">
                <w:rPr>
                  <w:rStyle w:val="Hyperlink"/>
                  <w:rFonts w:ascii="Times New Roman" w:hAnsi="Times New Roman" w:cs="Times New Roman"/>
                </w:rPr>
                <w:t>https://pc3dualcredit.org/</w:t>
              </w:r>
            </w:hyperlink>
            <w:r w:rsidR="004444FA">
              <w:rPr>
                <w:rFonts w:ascii="Times New Roman" w:hAnsi="Times New Roman" w:cs="Times New Roman"/>
              </w:rPr>
              <w:t xml:space="preserve"> </w:t>
            </w:r>
            <w:r w:rsidR="00975EA1">
              <w:rPr>
                <w:rFonts w:ascii="Times New Roman" w:hAnsi="Times New Roman" w:cs="Times New Roman"/>
              </w:rPr>
              <w:t>link</w:t>
            </w:r>
            <w:r w:rsidR="004444FA">
              <w:rPr>
                <w:rFonts w:ascii="Times New Roman" w:hAnsi="Times New Roman" w:cs="Times New Roman"/>
              </w:rPr>
              <w:t>s</w:t>
            </w:r>
            <w:r w:rsidR="00975EA1">
              <w:rPr>
                <w:rFonts w:ascii="Times New Roman" w:hAnsi="Times New Roman" w:cs="Times New Roman"/>
              </w:rPr>
              <w:t xml:space="preserve"> to further information available on the resources page</w:t>
            </w:r>
            <w:r w:rsidR="004444FA">
              <w:rPr>
                <w:rFonts w:ascii="Times New Roman" w:hAnsi="Times New Roman" w:cs="Times New Roman"/>
              </w:rPr>
              <w:t xml:space="preserve">. </w:t>
            </w:r>
            <w:r w:rsidRPr="00197B43">
              <w:rPr>
                <w:rFonts w:ascii="Times New Roman" w:hAnsi="Times New Roman" w:cs="Times New Roman"/>
              </w:rPr>
              <w:t>COE will continue to work with ou</w:t>
            </w:r>
            <w:r w:rsidR="00D9123A">
              <w:rPr>
                <w:rFonts w:ascii="Times New Roman" w:hAnsi="Times New Roman" w:cs="Times New Roman"/>
              </w:rPr>
              <w:t>r SBCTC colleges that offer all-</w:t>
            </w:r>
            <w:r w:rsidRPr="00197B43">
              <w:rPr>
                <w:rFonts w:ascii="Times New Roman" w:hAnsi="Times New Roman" w:cs="Times New Roman"/>
              </w:rPr>
              <w:t xml:space="preserve">hazard EM pathway programs to replicate the Piece </w:t>
            </w:r>
            <w:r w:rsidRPr="00975EA1">
              <w:rPr>
                <w:rFonts w:ascii="Times New Roman" w:hAnsi="Times New Roman" w:cs="Times New Roman"/>
              </w:rPr>
              <w:t>project</w:t>
            </w:r>
            <w:r w:rsidR="00D9123A">
              <w:rPr>
                <w:rFonts w:ascii="Times New Roman" w:hAnsi="Times New Roman" w:cs="Times New Roman"/>
              </w:rPr>
              <w:t>,</w:t>
            </w:r>
            <w:r w:rsidR="00975EA1" w:rsidRPr="00975EA1">
              <w:rPr>
                <w:rFonts w:ascii="Times New Roman" w:hAnsi="Times New Roman" w:cs="Times New Roman"/>
              </w:rPr>
              <w:t xml:space="preserve"> depending on </w:t>
            </w:r>
            <w:r w:rsidR="00D9123A">
              <w:rPr>
                <w:rFonts w:ascii="Times New Roman" w:hAnsi="Times New Roman" w:cs="Times New Roman"/>
              </w:rPr>
              <w:t xml:space="preserve">the </w:t>
            </w:r>
            <w:r w:rsidR="00975EA1" w:rsidRPr="00975EA1">
              <w:rPr>
                <w:rFonts w:ascii="Times New Roman" w:hAnsi="Times New Roman" w:cs="Times New Roman"/>
              </w:rPr>
              <w:t xml:space="preserve">availability of </w:t>
            </w:r>
            <w:r w:rsidR="00D9123A">
              <w:rPr>
                <w:rFonts w:ascii="Times New Roman" w:hAnsi="Times New Roman" w:cs="Times New Roman"/>
              </w:rPr>
              <w:t xml:space="preserve">the </w:t>
            </w:r>
            <w:r w:rsidR="00975EA1" w:rsidRPr="00975EA1">
              <w:rPr>
                <w:rFonts w:ascii="Times New Roman" w:hAnsi="Times New Roman" w:cs="Times New Roman"/>
              </w:rPr>
              <w:t>website developer</w:t>
            </w:r>
            <w:r w:rsidR="001D675B">
              <w:rPr>
                <w:rFonts w:ascii="Times New Roman" w:hAnsi="Times New Roman" w:cs="Times New Roman"/>
              </w:rPr>
              <w:t xml:space="preserve"> and possible grant funding availability</w:t>
            </w:r>
            <w:r w:rsidR="00975EA1" w:rsidRPr="00975EA1">
              <w:rPr>
                <w:rFonts w:ascii="Times New Roman" w:hAnsi="Times New Roman" w:cs="Times New Roman"/>
              </w:rPr>
              <w:t xml:space="preserve">. </w:t>
            </w:r>
            <w:r w:rsidR="00975EA1">
              <w:rPr>
                <w:rFonts w:ascii="Times New Roman" w:hAnsi="Times New Roman" w:cs="Times New Roman"/>
              </w:rPr>
              <w:t xml:space="preserve">The new website focuses on the benefits of career pathways and is a great tool to connect students with the opportunities available to them. </w:t>
            </w:r>
          </w:p>
        </w:tc>
      </w:tr>
      <w:tr w:rsidR="00AC0856" w:rsidRPr="00720C2F" w:rsidTr="000A421F">
        <w:trPr>
          <w:gridAfter w:val="1"/>
          <w:wAfter w:w="222" w:type="dxa"/>
          <w:trHeight w:val="351"/>
        </w:trPr>
        <w:tc>
          <w:tcPr>
            <w:tcW w:w="2448" w:type="dxa"/>
            <w:tcBorders>
              <w:left w:val="single" w:sz="18" w:space="0" w:color="auto"/>
              <w:right w:val="single" w:sz="4" w:space="0" w:color="auto"/>
            </w:tcBorders>
            <w:shd w:val="clear" w:color="auto" w:fill="D9D9D9" w:themeFill="background1" w:themeFillShade="D9"/>
          </w:tcPr>
          <w:p w:rsidR="00AC0856" w:rsidRPr="00720C2F" w:rsidRDefault="00AC0856" w:rsidP="002478F1">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Purpose</w:t>
            </w:r>
          </w:p>
        </w:tc>
        <w:tc>
          <w:tcPr>
            <w:tcW w:w="5977" w:type="dxa"/>
            <w:gridSpan w:val="2"/>
            <w:tcBorders>
              <w:right w:val="single" w:sz="18"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Projected Outcomes and Products</w:t>
            </w:r>
          </w:p>
        </w:tc>
      </w:tr>
      <w:tr w:rsidR="00AC0856" w:rsidRPr="00A862C1" w:rsidTr="000A421F">
        <w:trPr>
          <w:trHeight w:val="351"/>
        </w:trPr>
        <w:tc>
          <w:tcPr>
            <w:tcW w:w="2448" w:type="dxa"/>
            <w:tcBorders>
              <w:left w:val="single" w:sz="18" w:space="0" w:color="auto"/>
              <w:bottom w:val="single" w:sz="18" w:space="0" w:color="auto"/>
              <w:right w:val="single" w:sz="4" w:space="0" w:color="auto"/>
            </w:tcBorders>
          </w:tcPr>
          <w:p w:rsidR="00AC0856" w:rsidRPr="00A862C1" w:rsidRDefault="002B0A24" w:rsidP="002478F1">
            <w:pPr>
              <w:tabs>
                <w:tab w:val="left" w:pos="360"/>
              </w:tabs>
              <w:spacing w:line="312" w:lineRule="auto"/>
              <w:rPr>
                <w:sz w:val="18"/>
                <w:szCs w:val="18"/>
              </w:rPr>
            </w:pPr>
            <w:r>
              <w:rPr>
                <w:sz w:val="18"/>
                <w:szCs w:val="18"/>
              </w:rPr>
              <w:t xml:space="preserve">COE 100% Allocation </w:t>
            </w:r>
          </w:p>
        </w:tc>
        <w:tc>
          <w:tcPr>
            <w:tcW w:w="6245" w:type="dxa"/>
            <w:tcBorders>
              <w:left w:val="single" w:sz="4" w:space="0" w:color="auto"/>
              <w:bottom w:val="single" w:sz="18" w:space="0" w:color="auto"/>
            </w:tcBorders>
          </w:tcPr>
          <w:p w:rsidR="00554098" w:rsidRPr="00554098" w:rsidRDefault="00554098" w:rsidP="00914845">
            <w:pPr>
              <w:rPr>
                <w:rFonts w:ascii="Times New Roman" w:hAnsi="Times New Roman" w:cs="Times New Roman"/>
                <w:sz w:val="24"/>
                <w:szCs w:val="24"/>
              </w:rPr>
            </w:pPr>
            <w:r w:rsidRPr="00554098">
              <w:rPr>
                <w:rFonts w:ascii="Times New Roman" w:hAnsi="Times New Roman" w:cs="Times New Roman"/>
                <w:sz w:val="24"/>
                <w:szCs w:val="24"/>
              </w:rPr>
              <w:t xml:space="preserve">Continue to engage employers/colleges in joining the Handshake service and AWB jobs website, which offers students/employers access to internships, experiential learning opportunities, and jobs.   </w:t>
            </w:r>
          </w:p>
          <w:p w:rsidR="00554098" w:rsidRPr="00554098" w:rsidRDefault="00554098" w:rsidP="00914845">
            <w:pPr>
              <w:rPr>
                <w:rFonts w:ascii="Times New Roman" w:hAnsi="Times New Roman" w:cs="Times New Roman"/>
                <w:sz w:val="24"/>
                <w:szCs w:val="24"/>
              </w:rPr>
            </w:pPr>
          </w:p>
          <w:p w:rsidR="00BA7CA2" w:rsidRPr="00554098" w:rsidRDefault="00554098" w:rsidP="00914845">
            <w:pPr>
              <w:rPr>
                <w:rFonts w:ascii="Times New Roman" w:hAnsi="Times New Roman" w:cs="Times New Roman"/>
                <w:sz w:val="24"/>
                <w:szCs w:val="24"/>
              </w:rPr>
            </w:pPr>
            <w:r w:rsidRPr="00554098">
              <w:rPr>
                <w:rFonts w:ascii="Times New Roman" w:hAnsi="Times New Roman" w:cs="Times New Roman"/>
                <w:sz w:val="24"/>
                <w:szCs w:val="24"/>
              </w:rPr>
              <w:t xml:space="preserve">Provide quarterly education/training workshops or seminars for Board Members, Senior Fellows, Professional/Technical Faculty, and Industry representatives on mentoring. The goal is for them to learn about work experience opportunities and prepare them to become mentors to students/others interested in careers in all-hazard EM careers.  </w:t>
            </w:r>
          </w:p>
          <w:p w:rsidR="00AC0856" w:rsidRDefault="00AC0856" w:rsidP="00914845">
            <w:pPr>
              <w:rPr>
                <w:sz w:val="18"/>
                <w:szCs w:val="18"/>
              </w:rPr>
            </w:pPr>
          </w:p>
          <w:p w:rsidR="00C2569F" w:rsidRPr="00A862C1" w:rsidRDefault="00C2569F" w:rsidP="00A13DD7">
            <w:pPr>
              <w:rPr>
                <w:sz w:val="18"/>
                <w:szCs w:val="18"/>
              </w:rPr>
            </w:pPr>
          </w:p>
        </w:tc>
        <w:tc>
          <w:tcPr>
            <w:tcW w:w="6199" w:type="dxa"/>
            <w:gridSpan w:val="3"/>
            <w:tcBorders>
              <w:bottom w:val="single" w:sz="18" w:space="0" w:color="auto"/>
              <w:right w:val="single" w:sz="18" w:space="0" w:color="auto"/>
            </w:tcBorders>
          </w:tcPr>
          <w:p w:rsidR="00554098" w:rsidRPr="00914845" w:rsidRDefault="00554098" w:rsidP="00455AC4">
            <w:pPr>
              <w:pStyle w:val="ListParagraph"/>
              <w:numPr>
                <w:ilvl w:val="0"/>
                <w:numId w:val="21"/>
              </w:numPr>
              <w:ind w:left="360"/>
              <w:rPr>
                <w:rFonts w:ascii="Times New Roman" w:hAnsi="Times New Roman" w:cs="Times New Roman"/>
                <w:sz w:val="24"/>
                <w:szCs w:val="24"/>
              </w:rPr>
            </w:pPr>
            <w:r w:rsidRPr="00914845">
              <w:rPr>
                <w:rFonts w:ascii="Times New Roman" w:hAnsi="Times New Roman" w:cs="Times New Roman"/>
                <w:sz w:val="24"/>
                <w:szCs w:val="24"/>
              </w:rPr>
              <w:t xml:space="preserve">Develop a strategic plan which engages employers/colleges and prepares them to join the Handshake service. </w:t>
            </w:r>
          </w:p>
          <w:p w:rsidR="008E7A17" w:rsidRPr="00EC5F48" w:rsidRDefault="00554098" w:rsidP="00EC5F48">
            <w:pPr>
              <w:pStyle w:val="ListParagraph"/>
              <w:numPr>
                <w:ilvl w:val="0"/>
                <w:numId w:val="23"/>
              </w:numPr>
              <w:rPr>
                <w:rFonts w:ascii="Times New Roman" w:hAnsi="Times New Roman" w:cs="Times New Roman"/>
                <w:sz w:val="24"/>
                <w:szCs w:val="24"/>
              </w:rPr>
            </w:pPr>
            <w:r w:rsidRPr="00EC5F48">
              <w:rPr>
                <w:rFonts w:ascii="Times New Roman" w:hAnsi="Times New Roman" w:cs="Times New Roman"/>
                <w:sz w:val="24"/>
                <w:szCs w:val="24"/>
              </w:rPr>
              <w:t>Provide information regarding the number of CTC system colleges</w:t>
            </w:r>
            <w:r w:rsidR="008E7A17" w:rsidRPr="00EC5F48">
              <w:rPr>
                <w:rFonts w:ascii="Times New Roman" w:hAnsi="Times New Roman" w:cs="Times New Roman"/>
                <w:sz w:val="24"/>
                <w:szCs w:val="24"/>
              </w:rPr>
              <w:t xml:space="preserve"> that have joined the service. </w:t>
            </w:r>
          </w:p>
          <w:p w:rsidR="008E7A17" w:rsidRPr="00EC5F48" w:rsidRDefault="00554098" w:rsidP="00EC5F48">
            <w:pPr>
              <w:pStyle w:val="ListParagraph"/>
              <w:numPr>
                <w:ilvl w:val="0"/>
                <w:numId w:val="23"/>
              </w:numPr>
              <w:rPr>
                <w:rFonts w:ascii="Times New Roman" w:hAnsi="Times New Roman" w:cs="Times New Roman"/>
                <w:sz w:val="24"/>
                <w:szCs w:val="24"/>
              </w:rPr>
            </w:pPr>
            <w:r w:rsidRPr="00EC5F48">
              <w:rPr>
                <w:rFonts w:ascii="Times New Roman" w:hAnsi="Times New Roman" w:cs="Times New Roman"/>
                <w:sz w:val="24"/>
                <w:szCs w:val="24"/>
              </w:rPr>
              <w:t xml:space="preserve">Provide the Pierce College template for the launch of their campus-wide launch. </w:t>
            </w:r>
          </w:p>
          <w:p w:rsidR="008E7A17" w:rsidRPr="00EC5F48" w:rsidRDefault="00554098" w:rsidP="00EC5F48">
            <w:pPr>
              <w:pStyle w:val="ListParagraph"/>
              <w:numPr>
                <w:ilvl w:val="0"/>
                <w:numId w:val="23"/>
              </w:numPr>
              <w:rPr>
                <w:rFonts w:ascii="Times New Roman" w:hAnsi="Times New Roman" w:cs="Times New Roman"/>
                <w:sz w:val="24"/>
                <w:szCs w:val="24"/>
              </w:rPr>
            </w:pPr>
            <w:r w:rsidRPr="00EC5F48">
              <w:rPr>
                <w:rFonts w:ascii="Times New Roman" w:hAnsi="Times New Roman" w:cs="Times New Roman"/>
                <w:sz w:val="24"/>
                <w:szCs w:val="24"/>
              </w:rPr>
              <w:t>Results of Handshake Survey</w:t>
            </w:r>
          </w:p>
          <w:p w:rsidR="00554098" w:rsidRPr="00EC5F48" w:rsidRDefault="00554098" w:rsidP="00EC5F48">
            <w:pPr>
              <w:pStyle w:val="ListParagraph"/>
              <w:numPr>
                <w:ilvl w:val="0"/>
                <w:numId w:val="23"/>
              </w:numPr>
              <w:rPr>
                <w:rFonts w:ascii="Times New Roman" w:hAnsi="Times New Roman" w:cs="Times New Roman"/>
                <w:sz w:val="24"/>
                <w:szCs w:val="24"/>
              </w:rPr>
            </w:pPr>
            <w:r w:rsidRPr="00EC5F48">
              <w:rPr>
                <w:rFonts w:ascii="Times New Roman" w:hAnsi="Times New Roman" w:cs="Times New Roman"/>
                <w:sz w:val="24"/>
                <w:szCs w:val="24"/>
              </w:rPr>
              <w:t>Complete in 1st quarter</w:t>
            </w:r>
          </w:p>
          <w:p w:rsidR="008E7A17" w:rsidRPr="00914845" w:rsidRDefault="00554098" w:rsidP="00455AC4">
            <w:pPr>
              <w:pStyle w:val="ListParagraph"/>
              <w:numPr>
                <w:ilvl w:val="0"/>
                <w:numId w:val="21"/>
              </w:numPr>
              <w:ind w:left="360"/>
              <w:rPr>
                <w:rFonts w:ascii="Times New Roman" w:hAnsi="Times New Roman" w:cs="Times New Roman"/>
                <w:sz w:val="24"/>
                <w:szCs w:val="24"/>
              </w:rPr>
            </w:pPr>
            <w:r w:rsidRPr="00914845">
              <w:rPr>
                <w:rFonts w:ascii="Times New Roman" w:hAnsi="Times New Roman" w:cs="Times New Roman"/>
                <w:sz w:val="24"/>
                <w:szCs w:val="24"/>
              </w:rPr>
              <w:t>Provide opportunities/incentives to employers to provide career/skills advancement for employees. Quarterly education/training workshops and seminars will provide skills development learning opportunities for participants to mentor and coach students. Job shadowing opportunities will also be developed and included in the outcome.</w:t>
            </w:r>
          </w:p>
          <w:p w:rsidR="00977E6B" w:rsidRDefault="008E7A17" w:rsidP="00455AC4">
            <w:pPr>
              <w:pStyle w:val="ListParagraph"/>
              <w:numPr>
                <w:ilvl w:val="0"/>
                <w:numId w:val="21"/>
              </w:numPr>
              <w:ind w:left="360"/>
              <w:rPr>
                <w:rFonts w:ascii="Times New Roman" w:hAnsi="Times New Roman" w:cs="Times New Roman"/>
                <w:sz w:val="24"/>
                <w:szCs w:val="24"/>
              </w:rPr>
            </w:pPr>
            <w:r w:rsidRPr="00914845">
              <w:rPr>
                <w:rFonts w:ascii="Times New Roman" w:hAnsi="Times New Roman" w:cs="Times New Roman"/>
                <w:sz w:val="24"/>
                <w:szCs w:val="24"/>
              </w:rPr>
              <w:lastRenderedPageBreak/>
              <w:t xml:space="preserve">Identify apprenticeships/inter-agency internships that support disciplines reported quarterly with a goal of twenty (20) work experience opportunities. </w:t>
            </w:r>
          </w:p>
          <w:p w:rsidR="008E7A17" w:rsidRPr="00914845" w:rsidRDefault="00977E6B" w:rsidP="00455AC4">
            <w:pPr>
              <w:pStyle w:val="ListParagraph"/>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With funding availability for resources </w:t>
            </w:r>
            <w:r w:rsidR="00D9123A">
              <w:rPr>
                <w:rFonts w:ascii="Times New Roman" w:hAnsi="Times New Roman" w:cs="Times New Roman"/>
                <w:sz w:val="24"/>
                <w:szCs w:val="24"/>
              </w:rPr>
              <w:t xml:space="preserve">to </w:t>
            </w:r>
            <w:r>
              <w:rPr>
                <w:rFonts w:ascii="Times New Roman" w:hAnsi="Times New Roman" w:cs="Times New Roman"/>
                <w:sz w:val="24"/>
                <w:szCs w:val="24"/>
              </w:rPr>
              <w:t>identify two other districts that would be interested in replicating the Pierce pilot.  Report each quarter.</w:t>
            </w:r>
            <w:r w:rsidR="008E7A17" w:rsidRPr="00914845">
              <w:rPr>
                <w:rFonts w:ascii="Times New Roman" w:hAnsi="Times New Roman" w:cs="Times New Roman"/>
                <w:sz w:val="24"/>
                <w:szCs w:val="24"/>
              </w:rPr>
              <w:t xml:space="preserve">  </w:t>
            </w:r>
            <w:r w:rsidR="00554098" w:rsidRPr="00914845">
              <w:rPr>
                <w:rFonts w:ascii="Times New Roman" w:hAnsi="Times New Roman" w:cs="Times New Roman"/>
                <w:sz w:val="24"/>
                <w:szCs w:val="24"/>
              </w:rPr>
              <w:t xml:space="preserve"> </w:t>
            </w:r>
          </w:p>
          <w:p w:rsidR="00262A19" w:rsidRPr="00A13DD7" w:rsidRDefault="00977E6B" w:rsidP="00A13DD7">
            <w:pPr>
              <w:pStyle w:val="ListParagraph"/>
              <w:numPr>
                <w:ilvl w:val="0"/>
                <w:numId w:val="21"/>
              </w:numPr>
              <w:ind w:left="360"/>
              <w:rPr>
                <w:sz w:val="18"/>
                <w:szCs w:val="18"/>
              </w:rPr>
            </w:pPr>
            <w:r>
              <w:rPr>
                <w:rFonts w:ascii="Times New Roman" w:hAnsi="Times New Roman" w:cs="Times New Roman"/>
                <w:sz w:val="24"/>
                <w:szCs w:val="24"/>
              </w:rPr>
              <w:t>Rep</w:t>
            </w:r>
            <w:r w:rsidR="00554098" w:rsidRPr="00914845">
              <w:rPr>
                <w:rFonts w:ascii="Times New Roman" w:hAnsi="Times New Roman" w:cs="Times New Roman"/>
                <w:sz w:val="24"/>
                <w:szCs w:val="24"/>
              </w:rPr>
              <w:t>ort on education and training each quarter.</w:t>
            </w:r>
          </w:p>
          <w:p w:rsidR="00A13DD7" w:rsidRDefault="00A13DD7" w:rsidP="00A13DD7">
            <w:pPr>
              <w:rPr>
                <w:sz w:val="18"/>
                <w:szCs w:val="18"/>
              </w:rPr>
            </w:pPr>
          </w:p>
          <w:p w:rsidR="00A13DD7" w:rsidRDefault="00A13DD7" w:rsidP="00A13DD7">
            <w:pPr>
              <w:rPr>
                <w:sz w:val="18"/>
                <w:szCs w:val="18"/>
              </w:rPr>
            </w:pPr>
          </w:p>
          <w:p w:rsidR="00A13DD7" w:rsidRPr="00A13DD7" w:rsidRDefault="00A13DD7" w:rsidP="00A13DD7">
            <w:pPr>
              <w:rPr>
                <w:sz w:val="18"/>
                <w:szCs w:val="18"/>
              </w:rPr>
            </w:pPr>
          </w:p>
        </w:tc>
      </w:tr>
      <w:tr w:rsidR="00AC0856" w:rsidRPr="00720C2F" w:rsidTr="000A421F">
        <w:trPr>
          <w:gridAfter w:val="1"/>
          <w:wAfter w:w="222" w:type="dxa"/>
          <w:trHeight w:val="351"/>
        </w:trPr>
        <w:tc>
          <w:tcPr>
            <w:tcW w:w="1467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AC0856" w:rsidRPr="00720C2F" w:rsidRDefault="00AC0856" w:rsidP="002478F1">
            <w:pPr>
              <w:spacing w:line="312" w:lineRule="auto"/>
              <w:jc w:val="center"/>
              <w:rPr>
                <w:b/>
              </w:rPr>
            </w:pPr>
            <w:r w:rsidRPr="00720C2F">
              <w:rPr>
                <w:b/>
              </w:rPr>
              <w:lastRenderedPageBreak/>
              <w:t xml:space="preserve">Report </w:t>
            </w:r>
            <w:r>
              <w:rPr>
                <w:b/>
              </w:rPr>
              <w:t xml:space="preserve">and Analysis </w:t>
            </w:r>
            <w:r w:rsidRPr="00720C2F">
              <w:rPr>
                <w:b/>
              </w:rPr>
              <w:t>on Actual Outcomes and Products</w:t>
            </w: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1</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2</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3</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4</w:t>
            </w:r>
          </w:p>
        </w:tc>
        <w:tc>
          <w:tcPr>
            <w:tcW w:w="12222" w:type="dxa"/>
            <w:gridSpan w:val="3"/>
            <w:tcBorders>
              <w:left w:val="single" w:sz="4" w:space="0" w:color="auto"/>
              <w:bottom w:val="single" w:sz="4" w:space="0" w:color="auto"/>
              <w:right w:val="single" w:sz="18" w:space="0" w:color="auto"/>
            </w:tcBorders>
            <w:vAlign w:val="center"/>
          </w:tcPr>
          <w:p w:rsidR="00AC0856" w:rsidRPr="00A862C1" w:rsidRDefault="00AC0856"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8E7A17" w:rsidRPr="00720C2F" w:rsidRDefault="008E7A17" w:rsidP="002478F1">
            <w:pPr>
              <w:rPr>
                <w:b/>
              </w:rPr>
            </w:pPr>
            <w:r>
              <w:rPr>
                <w:b/>
              </w:rPr>
              <w:t>Analysis Q1</w:t>
            </w:r>
          </w:p>
        </w:tc>
        <w:tc>
          <w:tcPr>
            <w:tcW w:w="12222" w:type="dxa"/>
            <w:gridSpan w:val="3"/>
            <w:tcBorders>
              <w:left w:val="single" w:sz="4" w:space="0" w:color="auto"/>
              <w:bottom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Q2</w:t>
            </w:r>
          </w:p>
        </w:tc>
        <w:tc>
          <w:tcPr>
            <w:tcW w:w="12222" w:type="dxa"/>
            <w:gridSpan w:val="3"/>
            <w:tcBorders>
              <w:left w:val="single" w:sz="4" w:space="0" w:color="auto"/>
              <w:bottom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Q3</w:t>
            </w:r>
          </w:p>
        </w:tc>
        <w:tc>
          <w:tcPr>
            <w:tcW w:w="12222" w:type="dxa"/>
            <w:gridSpan w:val="3"/>
            <w:tcBorders>
              <w:left w:val="single" w:sz="4" w:space="0" w:color="auto"/>
              <w:bottom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Q4</w:t>
            </w:r>
          </w:p>
        </w:tc>
        <w:tc>
          <w:tcPr>
            <w:tcW w:w="12222" w:type="dxa"/>
            <w:gridSpan w:val="3"/>
            <w:tcBorders>
              <w:left w:val="single" w:sz="4" w:space="0" w:color="auto"/>
              <w:bottom w:val="single" w:sz="4" w:space="0" w:color="auto"/>
              <w:right w:val="single" w:sz="18" w:space="0" w:color="auto"/>
            </w:tcBorders>
            <w:vAlign w:val="center"/>
          </w:tcPr>
          <w:p w:rsidR="008E7A17" w:rsidRPr="00A862C1" w:rsidRDefault="008E7A17" w:rsidP="002478F1">
            <w:pPr>
              <w:spacing w:line="312" w:lineRule="auto"/>
              <w:rPr>
                <w:sz w:val="18"/>
              </w:rPr>
            </w:pPr>
          </w:p>
        </w:tc>
      </w:tr>
      <w:tr w:rsidR="00AC0856" w:rsidRPr="00720C2F" w:rsidTr="000A421F">
        <w:trPr>
          <w:gridAfter w:val="1"/>
          <w:wAfter w:w="222"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AC0856" w:rsidRPr="00720C2F" w:rsidRDefault="00AC0856" w:rsidP="002478F1">
            <w:pPr>
              <w:jc w:val="center"/>
              <w:rPr>
                <w:b/>
              </w:rPr>
            </w:pPr>
            <w:r w:rsidRPr="002D2ACF">
              <w:rPr>
                <w:b/>
              </w:rPr>
              <w:br w:type="page"/>
              <w:t>Core Expectations</w:t>
            </w:r>
            <w:r>
              <w:br w:type="page"/>
            </w:r>
          </w:p>
        </w:tc>
        <w:tc>
          <w:tcPr>
            <w:tcW w:w="12222" w:type="dxa"/>
            <w:gridSpan w:val="3"/>
            <w:tcBorders>
              <w:top w:val="single" w:sz="18" w:space="0" w:color="auto"/>
              <w:right w:val="single" w:sz="18" w:space="0" w:color="auto"/>
            </w:tcBorders>
            <w:shd w:val="clear" w:color="auto" w:fill="D9D9D9" w:themeFill="background1" w:themeFillShade="D9"/>
            <w:vAlign w:val="center"/>
          </w:tcPr>
          <w:p w:rsidR="00AC0856" w:rsidRPr="00720C2F" w:rsidRDefault="00AC0856" w:rsidP="002478F1">
            <w:pPr>
              <w:jc w:val="center"/>
              <w:rPr>
                <w:b/>
              </w:rPr>
            </w:pPr>
            <w:r w:rsidRPr="00720C2F">
              <w:rPr>
                <w:b/>
              </w:rPr>
              <w:t>Activity</w:t>
            </w:r>
            <w:r w:rsidR="0057408E">
              <w:rPr>
                <w:b/>
              </w:rPr>
              <w:t xml:space="preserve"> #5</w:t>
            </w:r>
          </w:p>
        </w:tc>
      </w:tr>
      <w:tr w:rsidR="00AC0856" w:rsidRPr="00A862C1" w:rsidTr="000A421F">
        <w:trPr>
          <w:gridAfter w:val="1"/>
          <w:wAfter w:w="222" w:type="dxa"/>
          <w:trHeight w:val="775"/>
        </w:trPr>
        <w:tc>
          <w:tcPr>
            <w:tcW w:w="2448" w:type="dxa"/>
            <w:tcBorders>
              <w:left w:val="single" w:sz="18" w:space="0" w:color="auto"/>
            </w:tcBorders>
            <w:vAlign w:val="center"/>
          </w:tcPr>
          <w:p w:rsidR="00AC0856" w:rsidRPr="00AB534E" w:rsidRDefault="00B02586" w:rsidP="002478F1">
            <w:pPr>
              <w:tabs>
                <w:tab w:val="left" w:pos="360"/>
              </w:tabs>
              <w:spacing w:line="480" w:lineRule="auto"/>
              <w:rPr>
                <w:sz w:val="16"/>
              </w:rPr>
            </w:pPr>
            <w:sdt>
              <w:sdtPr>
                <w:rPr>
                  <w:sz w:val="16"/>
                </w:rPr>
                <w:id w:val="-2143263038"/>
                <w14:checkbox>
                  <w14:checked w14:val="0"/>
                  <w14:checkedState w14:val="2612" w14:font="MS Gothic"/>
                  <w14:uncheckedState w14:val="2610" w14:font="MS Gothic"/>
                </w14:checkbox>
              </w:sdtPr>
              <w:sdtEndPr/>
              <w:sdtContent>
                <w:r w:rsidR="00AC0856">
                  <w:rPr>
                    <w:rFonts w:ascii="MS Gothic" w:eastAsia="MS Gothic" w:hAnsi="MS Gothic" w:hint="eastAsia"/>
                    <w:sz w:val="16"/>
                  </w:rPr>
                  <w:t>☐</w:t>
                </w:r>
              </w:sdtContent>
            </w:sdt>
            <w:r w:rsidR="00AC0856">
              <w:rPr>
                <w:sz w:val="16"/>
              </w:rPr>
              <w:t xml:space="preserve"> </w:t>
            </w:r>
            <w:r w:rsidR="00AC0856" w:rsidRPr="00AB534E">
              <w:rPr>
                <w:sz w:val="16"/>
              </w:rPr>
              <w:t>Economic Development</w:t>
            </w:r>
          </w:p>
          <w:p w:rsidR="00AC0856" w:rsidRPr="00AB534E" w:rsidRDefault="00B02586" w:rsidP="002478F1">
            <w:pPr>
              <w:tabs>
                <w:tab w:val="left" w:pos="360"/>
              </w:tabs>
              <w:spacing w:line="480" w:lineRule="auto"/>
              <w:rPr>
                <w:sz w:val="16"/>
              </w:rPr>
            </w:pPr>
            <w:sdt>
              <w:sdtPr>
                <w:rPr>
                  <w:sz w:val="16"/>
                </w:rPr>
                <w:id w:val="1743904292"/>
                <w14:checkbox>
                  <w14:checked w14:val="1"/>
                  <w14:checkedState w14:val="2612" w14:font="MS Gothic"/>
                  <w14:uncheckedState w14:val="2610" w14:font="MS Gothic"/>
                </w14:checkbox>
              </w:sdtPr>
              <w:sdtEndPr/>
              <w:sdtContent>
                <w:r w:rsidR="00653365">
                  <w:rPr>
                    <w:rFonts w:ascii="MS Gothic" w:eastAsia="MS Gothic" w:hAnsi="MS Gothic" w:hint="eastAsia"/>
                    <w:sz w:val="16"/>
                  </w:rPr>
                  <w:t>☒</w:t>
                </w:r>
              </w:sdtContent>
            </w:sdt>
            <w:r w:rsidR="00AC0856">
              <w:rPr>
                <w:sz w:val="16"/>
              </w:rPr>
              <w:t xml:space="preserve"> </w:t>
            </w:r>
            <w:r w:rsidR="00AC0856" w:rsidRPr="00AB534E">
              <w:rPr>
                <w:sz w:val="16"/>
              </w:rPr>
              <w:t>Sector Strategy</w:t>
            </w:r>
          </w:p>
          <w:p w:rsidR="00AC0856" w:rsidRPr="00AB534E" w:rsidRDefault="00B02586" w:rsidP="002478F1">
            <w:pPr>
              <w:tabs>
                <w:tab w:val="left" w:pos="360"/>
              </w:tabs>
              <w:spacing w:line="480" w:lineRule="auto"/>
              <w:rPr>
                <w:sz w:val="16"/>
              </w:rPr>
            </w:pPr>
            <w:sdt>
              <w:sdtPr>
                <w:rPr>
                  <w:sz w:val="16"/>
                </w:rPr>
                <w:id w:val="1904323888"/>
                <w14:checkbox>
                  <w14:checked w14:val="1"/>
                  <w14:checkedState w14:val="2612" w14:font="MS Gothic"/>
                  <w14:uncheckedState w14:val="2610" w14:font="MS Gothic"/>
                </w14:checkbox>
              </w:sdtPr>
              <w:sdtEndPr/>
              <w:sdtContent>
                <w:r w:rsidR="00653365">
                  <w:rPr>
                    <w:rFonts w:ascii="MS Gothic" w:eastAsia="MS Gothic" w:hAnsi="MS Gothic" w:hint="eastAsia"/>
                    <w:sz w:val="16"/>
                  </w:rPr>
                  <w:t>☒</w:t>
                </w:r>
              </w:sdtContent>
            </w:sdt>
            <w:r w:rsidR="00AC0856" w:rsidRPr="00AB534E">
              <w:rPr>
                <w:sz w:val="16"/>
              </w:rPr>
              <w:t xml:space="preserve"> Ed/Innovation/Efficiency</w:t>
            </w:r>
          </w:p>
          <w:p w:rsidR="00AC0856" w:rsidRDefault="00B02586" w:rsidP="002478F1">
            <w:pPr>
              <w:tabs>
                <w:tab w:val="left" w:pos="360"/>
              </w:tabs>
              <w:spacing w:line="480" w:lineRule="auto"/>
              <w:rPr>
                <w:sz w:val="16"/>
              </w:rPr>
            </w:pPr>
            <w:sdt>
              <w:sdtPr>
                <w:rPr>
                  <w:sz w:val="16"/>
                </w:rPr>
                <w:id w:val="1715623413"/>
                <w14:checkbox>
                  <w14:checked w14:val="1"/>
                  <w14:checkedState w14:val="2612" w14:font="MS Gothic"/>
                  <w14:uncheckedState w14:val="2610" w14:font="MS Gothic"/>
                </w14:checkbox>
              </w:sdtPr>
              <w:sdtEndPr/>
              <w:sdtContent>
                <w:r w:rsidR="00653365">
                  <w:rPr>
                    <w:rFonts w:ascii="MS Gothic" w:eastAsia="MS Gothic" w:hAnsi="MS Gothic" w:hint="eastAsia"/>
                    <w:sz w:val="16"/>
                  </w:rPr>
                  <w:t>☒</w:t>
                </w:r>
              </w:sdtContent>
            </w:sdt>
            <w:r w:rsidR="00AC0856" w:rsidRPr="00AB534E">
              <w:rPr>
                <w:sz w:val="16"/>
              </w:rPr>
              <w:t xml:space="preserve"> Supply/Demand</w:t>
            </w:r>
          </w:p>
          <w:p w:rsidR="00AC0856" w:rsidRDefault="00B02586" w:rsidP="002478F1">
            <w:pPr>
              <w:tabs>
                <w:tab w:val="left" w:pos="360"/>
              </w:tabs>
              <w:spacing w:line="480" w:lineRule="auto"/>
            </w:pPr>
            <w:sdt>
              <w:sdtPr>
                <w:rPr>
                  <w:sz w:val="16"/>
                </w:rPr>
                <w:id w:val="-64410234"/>
                <w14:checkbox>
                  <w14:checked w14:val="1"/>
                  <w14:checkedState w14:val="2612" w14:font="MS Gothic"/>
                  <w14:uncheckedState w14:val="2610" w14:font="MS Gothic"/>
                </w14:checkbox>
              </w:sdtPr>
              <w:sdtEndPr/>
              <w:sdtContent>
                <w:r w:rsidR="00653365">
                  <w:rPr>
                    <w:rFonts w:ascii="MS Gothic" w:eastAsia="MS Gothic" w:hAnsi="MS Gothic" w:hint="eastAsia"/>
                    <w:sz w:val="16"/>
                  </w:rPr>
                  <w:t>☒</w:t>
                </w:r>
              </w:sdtContent>
            </w:sdt>
            <w:r w:rsidR="00AC0856" w:rsidRPr="00AB534E">
              <w:rPr>
                <w:sz w:val="16"/>
              </w:rPr>
              <w:t xml:space="preserve"> </w:t>
            </w:r>
            <w:r w:rsidR="00AC0856">
              <w:rPr>
                <w:sz w:val="16"/>
              </w:rPr>
              <w:t>Equity &amp; Access</w:t>
            </w:r>
          </w:p>
        </w:tc>
        <w:tc>
          <w:tcPr>
            <w:tcW w:w="12222" w:type="dxa"/>
            <w:gridSpan w:val="3"/>
            <w:tcBorders>
              <w:right w:val="single" w:sz="18" w:space="0" w:color="auto"/>
            </w:tcBorders>
          </w:tcPr>
          <w:p w:rsidR="008E7A17" w:rsidRPr="008E7A17" w:rsidRDefault="008E7A17" w:rsidP="008E7A17">
            <w:pPr>
              <w:pStyle w:val="NormalWeb"/>
              <w:spacing w:before="0" w:beforeAutospacing="0" w:after="0" w:afterAutospacing="0"/>
              <w:rPr>
                <w:color w:val="0E101A"/>
              </w:rPr>
            </w:pPr>
            <w:r w:rsidRPr="008E7A17">
              <w:rPr>
                <w:rStyle w:val="Strong"/>
                <w:color w:val="0E101A"/>
              </w:rPr>
              <w:lastRenderedPageBreak/>
              <w:t>CTE Cluster: Law, Public Safety, Corrections, and Security Education Attainment</w:t>
            </w:r>
          </w:p>
          <w:p w:rsidR="0057408E" w:rsidRPr="008E7A17" w:rsidRDefault="008E7A17" w:rsidP="008E7A17">
            <w:pPr>
              <w:pStyle w:val="NormalWeb"/>
              <w:spacing w:before="0" w:beforeAutospacing="0" w:after="0" w:afterAutospacing="0"/>
              <w:rPr>
                <w:color w:val="0E101A"/>
              </w:rPr>
            </w:pPr>
            <w:r w:rsidRPr="008E7A17">
              <w:rPr>
                <w:color w:val="0E101A"/>
              </w:rPr>
              <w:t>The state currently supports over 86,000 employees in the CTE Cluster, and there is a rapidly growing demand for security and protective professionals, law enforcement, firefighters, and emergency medical technicians.</w:t>
            </w:r>
            <w:r>
              <w:rPr>
                <w:color w:val="0E101A"/>
              </w:rPr>
              <w:t xml:space="preserve"> </w:t>
            </w:r>
            <w:r w:rsidRPr="008E7A17">
              <w:t>All career fields in this cluster need to re-commit to upholding access, equitable social justice, racial outcomes, techniques, and training delivery results.</w:t>
            </w:r>
          </w:p>
        </w:tc>
      </w:tr>
      <w:tr w:rsidR="00AC0856" w:rsidRPr="00720C2F" w:rsidTr="000A421F">
        <w:trPr>
          <w:gridAfter w:val="1"/>
          <w:wAfter w:w="222" w:type="dxa"/>
          <w:trHeight w:val="351"/>
        </w:trPr>
        <w:tc>
          <w:tcPr>
            <w:tcW w:w="2448" w:type="dxa"/>
            <w:tcBorders>
              <w:left w:val="single" w:sz="18" w:space="0" w:color="auto"/>
              <w:right w:val="single" w:sz="4" w:space="0" w:color="auto"/>
            </w:tcBorders>
            <w:shd w:val="clear" w:color="auto" w:fill="D9D9D9" w:themeFill="background1" w:themeFillShade="D9"/>
          </w:tcPr>
          <w:p w:rsidR="00AC0856" w:rsidRPr="00720C2F" w:rsidRDefault="00AC0856" w:rsidP="002478F1">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Purpose</w:t>
            </w:r>
          </w:p>
        </w:tc>
        <w:tc>
          <w:tcPr>
            <w:tcW w:w="5977" w:type="dxa"/>
            <w:gridSpan w:val="2"/>
            <w:tcBorders>
              <w:right w:val="single" w:sz="18" w:space="0" w:color="auto"/>
            </w:tcBorders>
            <w:shd w:val="clear" w:color="auto" w:fill="D9D9D9" w:themeFill="background1" w:themeFillShade="D9"/>
          </w:tcPr>
          <w:p w:rsidR="00AC0856" w:rsidRPr="00720C2F" w:rsidRDefault="00AC0856" w:rsidP="002478F1">
            <w:pPr>
              <w:spacing w:line="312" w:lineRule="auto"/>
              <w:jc w:val="center"/>
              <w:rPr>
                <w:b/>
              </w:rPr>
            </w:pPr>
            <w:r w:rsidRPr="00720C2F">
              <w:rPr>
                <w:b/>
              </w:rPr>
              <w:t>Projected Outcomes and Products</w:t>
            </w:r>
          </w:p>
        </w:tc>
      </w:tr>
      <w:tr w:rsidR="00AC0856" w:rsidRPr="00A862C1" w:rsidTr="00D4003F">
        <w:trPr>
          <w:gridAfter w:val="2"/>
          <w:wAfter w:w="360" w:type="dxa"/>
          <w:trHeight w:val="351"/>
        </w:trPr>
        <w:tc>
          <w:tcPr>
            <w:tcW w:w="2448" w:type="dxa"/>
            <w:tcBorders>
              <w:left w:val="single" w:sz="18" w:space="0" w:color="auto"/>
              <w:bottom w:val="single" w:sz="18" w:space="0" w:color="auto"/>
              <w:right w:val="single" w:sz="4" w:space="0" w:color="auto"/>
            </w:tcBorders>
          </w:tcPr>
          <w:p w:rsidR="00AC0856" w:rsidRDefault="00653365" w:rsidP="002478F1">
            <w:pPr>
              <w:tabs>
                <w:tab w:val="left" w:pos="360"/>
              </w:tabs>
              <w:spacing w:line="312" w:lineRule="auto"/>
              <w:rPr>
                <w:sz w:val="18"/>
                <w:szCs w:val="18"/>
              </w:rPr>
            </w:pPr>
            <w:r>
              <w:rPr>
                <w:sz w:val="18"/>
                <w:szCs w:val="18"/>
              </w:rPr>
              <w:t>COE 100% Allocation</w:t>
            </w:r>
          </w:p>
          <w:p w:rsidR="00653365" w:rsidRPr="00A862C1" w:rsidRDefault="00653365" w:rsidP="002478F1">
            <w:pPr>
              <w:tabs>
                <w:tab w:val="left" w:pos="360"/>
              </w:tabs>
              <w:spacing w:line="312" w:lineRule="auto"/>
              <w:rPr>
                <w:sz w:val="18"/>
                <w:szCs w:val="18"/>
              </w:rPr>
            </w:pPr>
          </w:p>
        </w:tc>
        <w:tc>
          <w:tcPr>
            <w:tcW w:w="6245" w:type="dxa"/>
            <w:tcBorders>
              <w:left w:val="single" w:sz="4" w:space="0" w:color="auto"/>
              <w:bottom w:val="single" w:sz="18" w:space="0" w:color="auto"/>
            </w:tcBorders>
          </w:tcPr>
          <w:p w:rsidR="008E7A17" w:rsidRDefault="008E7A17" w:rsidP="00FB20FC">
            <w:pPr>
              <w:rPr>
                <w:rFonts w:ascii="Times New Roman" w:hAnsi="Times New Roman" w:cs="Times New Roman"/>
                <w:sz w:val="24"/>
                <w:szCs w:val="24"/>
              </w:rPr>
            </w:pPr>
            <w:r w:rsidRPr="008E7A17">
              <w:rPr>
                <w:rFonts w:ascii="Times New Roman" w:hAnsi="Times New Roman" w:cs="Times New Roman"/>
                <w:sz w:val="24"/>
                <w:szCs w:val="24"/>
              </w:rPr>
              <w:t>The Center will continue to work with the nineteen (19) Criminal Justice (CJ) Programs and employers to implement its model core curriculum, Open Education Resource (OER), and DEIA curricul</w:t>
            </w:r>
            <w:r>
              <w:rPr>
                <w:rFonts w:ascii="Times New Roman" w:hAnsi="Times New Roman" w:cs="Times New Roman"/>
                <w:sz w:val="24"/>
                <w:szCs w:val="24"/>
              </w:rPr>
              <w:t>um.</w:t>
            </w:r>
          </w:p>
          <w:p w:rsidR="008E7A17" w:rsidRPr="008E7A17" w:rsidRDefault="008E7A17" w:rsidP="00FB20FC">
            <w:pPr>
              <w:rPr>
                <w:rFonts w:ascii="Times New Roman" w:hAnsi="Times New Roman" w:cs="Times New Roman"/>
                <w:sz w:val="24"/>
                <w:szCs w:val="24"/>
              </w:rPr>
            </w:pPr>
          </w:p>
          <w:p w:rsidR="008E7A17" w:rsidRPr="008E7A17" w:rsidRDefault="008E7A17" w:rsidP="00FB20FC">
            <w:pPr>
              <w:rPr>
                <w:rFonts w:ascii="Times New Roman" w:hAnsi="Times New Roman" w:cs="Times New Roman"/>
                <w:sz w:val="24"/>
                <w:szCs w:val="24"/>
              </w:rPr>
            </w:pPr>
            <w:r w:rsidRPr="008E7A17">
              <w:rPr>
                <w:rFonts w:ascii="Times New Roman" w:hAnsi="Times New Roman" w:cs="Times New Roman"/>
                <w:sz w:val="24"/>
                <w:szCs w:val="24"/>
              </w:rPr>
              <w:t xml:space="preserve">The Center will continue to support the Fire Services/Systems Faculty/Industry Working Group, which held its first meeting on May 26, with 30 faculty, deans, State Board, and Industry representatives attending.  </w:t>
            </w:r>
          </w:p>
          <w:p w:rsidR="008E7A17" w:rsidRPr="008E7A17" w:rsidRDefault="008E7A17" w:rsidP="00FB20FC">
            <w:pPr>
              <w:rPr>
                <w:rFonts w:ascii="Times New Roman" w:hAnsi="Times New Roman" w:cs="Times New Roman"/>
                <w:sz w:val="24"/>
                <w:szCs w:val="24"/>
              </w:rPr>
            </w:pPr>
          </w:p>
          <w:p w:rsidR="008E7A17" w:rsidRPr="008E7A17" w:rsidRDefault="008E7A17" w:rsidP="00FB20FC">
            <w:pPr>
              <w:rPr>
                <w:rFonts w:ascii="Times New Roman" w:hAnsi="Times New Roman" w:cs="Times New Roman"/>
                <w:sz w:val="24"/>
                <w:szCs w:val="24"/>
              </w:rPr>
            </w:pPr>
            <w:r w:rsidRPr="008E7A17">
              <w:rPr>
                <w:rFonts w:ascii="Times New Roman" w:hAnsi="Times New Roman" w:cs="Times New Roman"/>
                <w:sz w:val="24"/>
                <w:szCs w:val="24"/>
              </w:rPr>
              <w:t xml:space="preserve">The Center will work with Occupational Health and Safety Programs faculty, deans, and programs to address enrollment shortfalls and develop and implement a more effective “pipeline” for increasing DEIC students and K-12 high school students in the Program.  </w:t>
            </w:r>
          </w:p>
          <w:p w:rsidR="008E7A17" w:rsidRPr="008E7A17" w:rsidRDefault="008E7A17" w:rsidP="00FB20FC">
            <w:pPr>
              <w:rPr>
                <w:rFonts w:ascii="Times New Roman" w:hAnsi="Times New Roman" w:cs="Times New Roman"/>
                <w:sz w:val="24"/>
                <w:szCs w:val="24"/>
              </w:rPr>
            </w:pPr>
          </w:p>
          <w:p w:rsidR="00EE636D" w:rsidRPr="00A862C1" w:rsidRDefault="008E7A17" w:rsidP="00FB20FC">
            <w:pPr>
              <w:rPr>
                <w:sz w:val="18"/>
                <w:szCs w:val="18"/>
              </w:rPr>
            </w:pPr>
            <w:r w:rsidRPr="008E7A17">
              <w:rPr>
                <w:rFonts w:ascii="Times New Roman" w:hAnsi="Times New Roman" w:cs="Times New Roman"/>
                <w:sz w:val="24"/>
                <w:szCs w:val="24"/>
              </w:rPr>
              <w:t>Develop a State Agency all-hazard Emergency Management working group to collaborate to address needs, issues, and training needs.</w:t>
            </w:r>
            <w:r w:rsidRPr="008E7A17">
              <w:rPr>
                <w:sz w:val="18"/>
                <w:szCs w:val="18"/>
              </w:rPr>
              <w:t xml:space="preserve">  </w:t>
            </w:r>
          </w:p>
        </w:tc>
        <w:tc>
          <w:tcPr>
            <w:tcW w:w="5839" w:type="dxa"/>
            <w:tcBorders>
              <w:bottom w:val="single" w:sz="18" w:space="0" w:color="auto"/>
              <w:right w:val="single" w:sz="18" w:space="0" w:color="auto"/>
            </w:tcBorders>
          </w:tcPr>
          <w:p w:rsidR="008E7A17" w:rsidRPr="00FB20FC" w:rsidRDefault="00A66FD5" w:rsidP="00A66FD5">
            <w:pPr>
              <w:pStyle w:val="ListParagraph"/>
              <w:numPr>
                <w:ilvl w:val="0"/>
                <w:numId w:val="22"/>
              </w:numPr>
              <w:ind w:left="360"/>
              <w:rPr>
                <w:rFonts w:ascii="Times New Roman" w:hAnsi="Times New Roman" w:cs="Times New Roman"/>
                <w:sz w:val="24"/>
                <w:szCs w:val="24"/>
              </w:rPr>
            </w:pPr>
            <w:r>
              <w:rPr>
                <w:rFonts w:ascii="Times New Roman" w:hAnsi="Times New Roman" w:cs="Times New Roman"/>
                <w:sz w:val="24"/>
                <w:szCs w:val="24"/>
              </w:rPr>
              <w:t>O</w:t>
            </w:r>
            <w:r w:rsidR="008E7A17" w:rsidRPr="00FB20FC">
              <w:rPr>
                <w:rFonts w:ascii="Times New Roman" w:hAnsi="Times New Roman" w:cs="Times New Roman"/>
                <w:sz w:val="24"/>
                <w:szCs w:val="24"/>
              </w:rPr>
              <w:t>rganize and support quarterly meetings of the CJ Programs Workgroup to complete</w:t>
            </w:r>
            <w:r w:rsidR="00CA405C">
              <w:rPr>
                <w:rFonts w:ascii="Times New Roman" w:hAnsi="Times New Roman" w:cs="Times New Roman"/>
                <w:sz w:val="24"/>
                <w:szCs w:val="24"/>
              </w:rPr>
              <w:t xml:space="preserve"> and implement</w:t>
            </w:r>
            <w:r w:rsidR="008E7A17" w:rsidRPr="00FB20FC">
              <w:rPr>
                <w:rFonts w:ascii="Times New Roman" w:hAnsi="Times New Roman" w:cs="Times New Roman"/>
                <w:sz w:val="24"/>
                <w:szCs w:val="24"/>
              </w:rPr>
              <w:t xml:space="preserve"> their work plans for the year.</w:t>
            </w:r>
            <w:r w:rsidR="00CA405C">
              <w:rPr>
                <w:rFonts w:ascii="Times New Roman" w:hAnsi="Times New Roman" w:cs="Times New Roman"/>
                <w:sz w:val="24"/>
                <w:szCs w:val="24"/>
              </w:rPr>
              <w:t xml:space="preserve"> Report quarterly.</w:t>
            </w:r>
          </w:p>
          <w:p w:rsidR="008E7A17" w:rsidRPr="008E7A17" w:rsidRDefault="008E7A17" w:rsidP="00A66FD5">
            <w:pPr>
              <w:rPr>
                <w:rFonts w:ascii="Times New Roman" w:hAnsi="Times New Roman" w:cs="Times New Roman"/>
                <w:sz w:val="24"/>
                <w:szCs w:val="24"/>
              </w:rPr>
            </w:pPr>
          </w:p>
          <w:p w:rsidR="008E7A17" w:rsidRPr="00FB20FC" w:rsidRDefault="008E7A17" w:rsidP="00A66FD5">
            <w:pPr>
              <w:pStyle w:val="ListParagraph"/>
              <w:numPr>
                <w:ilvl w:val="0"/>
                <w:numId w:val="22"/>
              </w:numPr>
              <w:ind w:left="360"/>
              <w:rPr>
                <w:rFonts w:ascii="Times New Roman" w:hAnsi="Times New Roman" w:cs="Times New Roman"/>
                <w:sz w:val="24"/>
                <w:szCs w:val="24"/>
              </w:rPr>
            </w:pPr>
            <w:r w:rsidRPr="00FB20FC">
              <w:rPr>
                <w:rFonts w:ascii="Times New Roman" w:hAnsi="Times New Roman" w:cs="Times New Roman"/>
                <w:sz w:val="24"/>
                <w:szCs w:val="24"/>
              </w:rPr>
              <w:t xml:space="preserve">The HSEM/AG Natural Resources COEs will work with the newly established </w:t>
            </w:r>
            <w:r w:rsidR="0051557D">
              <w:rPr>
                <w:rFonts w:ascii="Times New Roman" w:hAnsi="Times New Roman" w:cs="Times New Roman"/>
                <w:sz w:val="24"/>
                <w:szCs w:val="24"/>
              </w:rPr>
              <w:t xml:space="preserve">Fire Services </w:t>
            </w:r>
            <w:r w:rsidRPr="00FB20FC">
              <w:rPr>
                <w:rFonts w:ascii="Times New Roman" w:hAnsi="Times New Roman" w:cs="Times New Roman"/>
                <w:sz w:val="24"/>
                <w:szCs w:val="24"/>
              </w:rPr>
              <w:t>Working Group</w:t>
            </w:r>
            <w:r w:rsidR="0051557D">
              <w:rPr>
                <w:rFonts w:ascii="Times New Roman" w:hAnsi="Times New Roman" w:cs="Times New Roman"/>
                <w:sz w:val="24"/>
                <w:szCs w:val="24"/>
              </w:rPr>
              <w:t xml:space="preserve"> (59 members)</w:t>
            </w:r>
            <w:r w:rsidRPr="00FB20FC">
              <w:rPr>
                <w:rFonts w:ascii="Times New Roman" w:hAnsi="Times New Roman" w:cs="Times New Roman"/>
                <w:sz w:val="24"/>
                <w:szCs w:val="24"/>
              </w:rPr>
              <w:t xml:space="preserve"> and its co-chairs to complete:</w:t>
            </w:r>
          </w:p>
          <w:p w:rsidR="0051557D" w:rsidRPr="0051557D" w:rsidRDefault="0051557D" w:rsidP="0051557D">
            <w:pPr>
              <w:rPr>
                <w:rFonts w:ascii="Times New Roman" w:hAnsi="Times New Roman" w:cs="Times New Roman"/>
                <w:sz w:val="24"/>
                <w:szCs w:val="24"/>
              </w:rPr>
            </w:pPr>
          </w:p>
          <w:p w:rsidR="008E7A17" w:rsidRPr="0051557D" w:rsidRDefault="008E7A17" w:rsidP="0051557D">
            <w:pPr>
              <w:pStyle w:val="ListParagraph"/>
              <w:numPr>
                <w:ilvl w:val="0"/>
                <w:numId w:val="26"/>
              </w:numPr>
              <w:rPr>
                <w:rFonts w:ascii="Times New Roman" w:hAnsi="Times New Roman" w:cs="Times New Roman"/>
                <w:sz w:val="24"/>
                <w:szCs w:val="24"/>
              </w:rPr>
            </w:pPr>
            <w:r w:rsidRPr="0051557D">
              <w:rPr>
                <w:rFonts w:ascii="Times New Roman" w:hAnsi="Times New Roman" w:cs="Times New Roman"/>
                <w:sz w:val="24"/>
                <w:szCs w:val="24"/>
              </w:rPr>
              <w:t xml:space="preserve">Connecting and involving </w:t>
            </w:r>
            <w:r w:rsidR="0051557D">
              <w:rPr>
                <w:rFonts w:ascii="Times New Roman" w:hAnsi="Times New Roman" w:cs="Times New Roman"/>
                <w:sz w:val="24"/>
                <w:szCs w:val="24"/>
              </w:rPr>
              <w:t>all statewide CTC fire programs.</w:t>
            </w:r>
          </w:p>
          <w:p w:rsidR="0051557D" w:rsidRPr="0051557D" w:rsidRDefault="0051557D" w:rsidP="0051557D">
            <w:pPr>
              <w:pStyle w:val="ListParagraph"/>
              <w:rPr>
                <w:rFonts w:ascii="Times New Roman" w:hAnsi="Times New Roman" w:cs="Times New Roman"/>
                <w:sz w:val="24"/>
                <w:szCs w:val="24"/>
              </w:rPr>
            </w:pPr>
          </w:p>
          <w:p w:rsidR="008E7A17" w:rsidRDefault="0051557D" w:rsidP="00AA731B">
            <w:pPr>
              <w:pStyle w:val="ListParagraph"/>
              <w:numPr>
                <w:ilvl w:val="0"/>
                <w:numId w:val="26"/>
              </w:numPr>
              <w:rPr>
                <w:rFonts w:ascii="Times New Roman" w:hAnsi="Times New Roman" w:cs="Times New Roman"/>
                <w:sz w:val="24"/>
                <w:szCs w:val="24"/>
              </w:rPr>
            </w:pPr>
            <w:r w:rsidRPr="00ED496B">
              <w:rPr>
                <w:rFonts w:ascii="Times New Roman" w:hAnsi="Times New Roman" w:cs="Times New Roman"/>
                <w:sz w:val="24"/>
                <w:szCs w:val="24"/>
              </w:rPr>
              <w:t>W</w:t>
            </w:r>
            <w:r w:rsidR="008E7A17" w:rsidRPr="00ED496B">
              <w:rPr>
                <w:rFonts w:ascii="Times New Roman" w:hAnsi="Times New Roman" w:cs="Times New Roman"/>
                <w:sz w:val="24"/>
                <w:szCs w:val="24"/>
              </w:rPr>
              <w:t xml:space="preserve">orking with co-chairs and survey committee chair to design and complete a survey identifying curriculum, equipment needs, training facilities, critical KSAs/learning outcomes, college capacity for training models and outcomes, and faculty and staff capacity and needs. </w:t>
            </w:r>
          </w:p>
          <w:p w:rsidR="00ED496B" w:rsidRPr="00ED496B" w:rsidRDefault="00ED496B" w:rsidP="00ED496B">
            <w:pPr>
              <w:pStyle w:val="ListParagraph"/>
              <w:rPr>
                <w:rFonts w:ascii="Times New Roman" w:hAnsi="Times New Roman" w:cs="Times New Roman"/>
                <w:sz w:val="24"/>
                <w:szCs w:val="24"/>
              </w:rPr>
            </w:pPr>
          </w:p>
          <w:p w:rsidR="00ED496B" w:rsidRDefault="00ED496B" w:rsidP="00AA731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Complete outreach to DNR HB1168 working group for their expertise and research/survey needs for Wildland Fire Fighters.</w:t>
            </w:r>
          </w:p>
          <w:p w:rsidR="00ED496B" w:rsidRPr="00ED496B" w:rsidRDefault="00ED496B" w:rsidP="00ED496B">
            <w:pPr>
              <w:pStyle w:val="ListParagraph"/>
              <w:rPr>
                <w:rFonts w:ascii="Times New Roman" w:hAnsi="Times New Roman" w:cs="Times New Roman"/>
                <w:sz w:val="24"/>
                <w:szCs w:val="24"/>
              </w:rPr>
            </w:pPr>
          </w:p>
          <w:p w:rsidR="00ED496B" w:rsidRDefault="00ED496B" w:rsidP="00AA731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Publish quarterly updates to Work Group.</w:t>
            </w:r>
          </w:p>
          <w:p w:rsidR="00ED496B" w:rsidRPr="00ED496B" w:rsidRDefault="00ED496B" w:rsidP="00ED496B">
            <w:pPr>
              <w:pStyle w:val="ListParagraph"/>
              <w:rPr>
                <w:rFonts w:ascii="Times New Roman" w:hAnsi="Times New Roman" w:cs="Times New Roman"/>
                <w:sz w:val="24"/>
                <w:szCs w:val="24"/>
              </w:rPr>
            </w:pPr>
          </w:p>
          <w:p w:rsidR="00ED496B" w:rsidRPr="00ED496B" w:rsidRDefault="00ED496B" w:rsidP="00ED496B">
            <w:pPr>
              <w:pStyle w:val="ListParagraph"/>
              <w:numPr>
                <w:ilvl w:val="0"/>
                <w:numId w:val="22"/>
              </w:numPr>
              <w:ind w:left="360"/>
              <w:rPr>
                <w:rFonts w:ascii="Times New Roman" w:hAnsi="Times New Roman" w:cs="Times New Roman"/>
                <w:sz w:val="24"/>
                <w:szCs w:val="24"/>
              </w:rPr>
            </w:pPr>
            <w:r w:rsidRPr="00ED496B">
              <w:rPr>
                <w:rFonts w:ascii="Times New Roman" w:hAnsi="Times New Roman" w:cs="Times New Roman"/>
                <w:sz w:val="24"/>
                <w:szCs w:val="24"/>
              </w:rPr>
              <w:t xml:space="preserve">Assess the effectiveness of expansion of the Apprenticeship Programs for both Fire and OHS; look at opportunities for retraining sites funded by Labor and </w:t>
            </w:r>
            <w:r w:rsidR="008C5B66" w:rsidRPr="00ED496B">
              <w:rPr>
                <w:rFonts w:ascii="Times New Roman" w:hAnsi="Times New Roman" w:cs="Times New Roman"/>
                <w:sz w:val="24"/>
                <w:szCs w:val="24"/>
              </w:rPr>
              <w:t>Industries.</w:t>
            </w:r>
            <w:r w:rsidR="008C5B66">
              <w:rPr>
                <w:rFonts w:ascii="Times New Roman" w:hAnsi="Times New Roman" w:cs="Times New Roman"/>
                <w:sz w:val="24"/>
                <w:szCs w:val="24"/>
              </w:rPr>
              <w:t xml:space="preserve"> Complete 1st quarter. </w:t>
            </w:r>
          </w:p>
          <w:p w:rsidR="00ED496B" w:rsidRPr="00ED496B" w:rsidRDefault="00ED496B" w:rsidP="00ED496B">
            <w:pPr>
              <w:pStyle w:val="ListParagraph"/>
              <w:ind w:left="360"/>
              <w:rPr>
                <w:rFonts w:ascii="Times New Roman" w:hAnsi="Times New Roman" w:cs="Times New Roman"/>
                <w:sz w:val="24"/>
                <w:szCs w:val="24"/>
              </w:rPr>
            </w:pPr>
          </w:p>
          <w:p w:rsidR="00EE636D" w:rsidRPr="00FB20FC" w:rsidRDefault="008E7A17" w:rsidP="00A66FD5">
            <w:pPr>
              <w:pStyle w:val="ListParagraph"/>
              <w:numPr>
                <w:ilvl w:val="0"/>
                <w:numId w:val="22"/>
              </w:numPr>
              <w:ind w:left="360"/>
              <w:rPr>
                <w:sz w:val="18"/>
                <w:szCs w:val="18"/>
              </w:rPr>
            </w:pPr>
            <w:r w:rsidRPr="00FB20FC">
              <w:rPr>
                <w:rFonts w:ascii="Times New Roman" w:hAnsi="Times New Roman" w:cs="Times New Roman"/>
                <w:sz w:val="24"/>
                <w:szCs w:val="24"/>
              </w:rPr>
              <w:t xml:space="preserve">Working with </w:t>
            </w:r>
            <w:r w:rsidR="008C48AB">
              <w:rPr>
                <w:rFonts w:ascii="Times New Roman" w:hAnsi="Times New Roman" w:cs="Times New Roman"/>
                <w:sz w:val="24"/>
                <w:szCs w:val="24"/>
              </w:rPr>
              <w:t xml:space="preserve">the </w:t>
            </w:r>
            <w:r w:rsidR="008C5B66" w:rsidRPr="00FB20FC">
              <w:rPr>
                <w:rFonts w:ascii="Times New Roman" w:hAnsi="Times New Roman" w:cs="Times New Roman"/>
                <w:sz w:val="24"/>
                <w:szCs w:val="24"/>
              </w:rPr>
              <w:t xml:space="preserve">current </w:t>
            </w:r>
            <w:r w:rsidR="008C5B66">
              <w:rPr>
                <w:rFonts w:ascii="Times New Roman" w:hAnsi="Times New Roman" w:cs="Times New Roman"/>
                <w:sz w:val="24"/>
                <w:szCs w:val="24"/>
              </w:rPr>
              <w:t xml:space="preserve">six (6) </w:t>
            </w:r>
            <w:r w:rsidRPr="00FB20FC">
              <w:rPr>
                <w:rFonts w:ascii="Times New Roman" w:hAnsi="Times New Roman" w:cs="Times New Roman"/>
                <w:sz w:val="24"/>
                <w:szCs w:val="24"/>
              </w:rPr>
              <w:t xml:space="preserve">Advisory Board Members who represent </w:t>
            </w:r>
            <w:r w:rsidR="008C48AB">
              <w:rPr>
                <w:rFonts w:ascii="Times New Roman" w:hAnsi="Times New Roman" w:cs="Times New Roman"/>
                <w:sz w:val="24"/>
                <w:szCs w:val="24"/>
              </w:rPr>
              <w:t>all-</w:t>
            </w:r>
            <w:r w:rsidR="008C5B66">
              <w:rPr>
                <w:rFonts w:ascii="Times New Roman" w:hAnsi="Times New Roman" w:cs="Times New Roman"/>
                <w:sz w:val="24"/>
                <w:szCs w:val="24"/>
              </w:rPr>
              <w:t xml:space="preserve">hazard EM/Security staff at </w:t>
            </w:r>
            <w:r w:rsidRPr="00FB20FC">
              <w:rPr>
                <w:rFonts w:ascii="Times New Roman" w:hAnsi="Times New Roman" w:cs="Times New Roman"/>
                <w:sz w:val="24"/>
                <w:szCs w:val="24"/>
              </w:rPr>
              <w:t xml:space="preserve">State Agencies, organize a meeting to discuss the </w:t>
            </w:r>
            <w:r w:rsidRPr="00FB20FC">
              <w:rPr>
                <w:rFonts w:ascii="Times New Roman" w:hAnsi="Times New Roman" w:cs="Times New Roman"/>
                <w:sz w:val="24"/>
                <w:szCs w:val="24"/>
              </w:rPr>
              <w:lastRenderedPageBreak/>
              <w:t>development of an All-Hazar</w:t>
            </w:r>
            <w:r w:rsidR="008C5B66">
              <w:rPr>
                <w:rFonts w:ascii="Times New Roman" w:hAnsi="Times New Roman" w:cs="Times New Roman"/>
                <w:sz w:val="24"/>
                <w:szCs w:val="24"/>
              </w:rPr>
              <w:t xml:space="preserve">d EM State Agency Working Group and develop </w:t>
            </w:r>
            <w:r w:rsidR="008C48AB">
              <w:rPr>
                <w:rFonts w:ascii="Times New Roman" w:hAnsi="Times New Roman" w:cs="Times New Roman"/>
                <w:sz w:val="24"/>
                <w:szCs w:val="24"/>
              </w:rPr>
              <w:t xml:space="preserve">a </w:t>
            </w:r>
            <w:r w:rsidR="008C5B66">
              <w:rPr>
                <w:rFonts w:ascii="Times New Roman" w:hAnsi="Times New Roman" w:cs="Times New Roman"/>
                <w:sz w:val="24"/>
                <w:szCs w:val="24"/>
              </w:rPr>
              <w:t>strategic plan for collaboration.  Complete during 1</w:t>
            </w:r>
            <w:r w:rsidR="008C5B66" w:rsidRPr="008C5B66">
              <w:rPr>
                <w:rFonts w:ascii="Times New Roman" w:hAnsi="Times New Roman" w:cs="Times New Roman"/>
                <w:sz w:val="24"/>
                <w:szCs w:val="24"/>
                <w:vertAlign w:val="superscript"/>
              </w:rPr>
              <w:t>st</w:t>
            </w:r>
            <w:r w:rsidR="008C5B66">
              <w:rPr>
                <w:rFonts w:ascii="Times New Roman" w:hAnsi="Times New Roman" w:cs="Times New Roman"/>
                <w:sz w:val="24"/>
                <w:szCs w:val="24"/>
              </w:rPr>
              <w:t xml:space="preserve"> quarter.</w:t>
            </w:r>
          </w:p>
        </w:tc>
      </w:tr>
      <w:tr w:rsidR="00AC0856" w:rsidRPr="00720C2F" w:rsidTr="000A421F">
        <w:trPr>
          <w:gridAfter w:val="1"/>
          <w:wAfter w:w="222" w:type="dxa"/>
          <w:trHeight w:val="351"/>
        </w:trPr>
        <w:tc>
          <w:tcPr>
            <w:tcW w:w="1467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AC0856" w:rsidRPr="00720C2F" w:rsidRDefault="00AC0856" w:rsidP="002478F1">
            <w:pPr>
              <w:spacing w:line="312" w:lineRule="auto"/>
              <w:jc w:val="center"/>
              <w:rPr>
                <w:b/>
              </w:rPr>
            </w:pPr>
            <w:r w:rsidRPr="00720C2F">
              <w:rPr>
                <w:b/>
              </w:rPr>
              <w:lastRenderedPageBreak/>
              <w:t xml:space="preserve">Report </w:t>
            </w:r>
            <w:r>
              <w:rPr>
                <w:b/>
              </w:rPr>
              <w:t xml:space="preserve">and Analysis </w:t>
            </w:r>
            <w:r w:rsidRPr="00720C2F">
              <w:rPr>
                <w:b/>
              </w:rPr>
              <w:t>on Actual Outcomes and Products</w:t>
            </w: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1</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2</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3</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AC0856"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AC0856" w:rsidRPr="00720C2F" w:rsidRDefault="00AC0856" w:rsidP="002478F1">
            <w:pPr>
              <w:rPr>
                <w:b/>
              </w:rPr>
            </w:pPr>
            <w:r w:rsidRPr="00720C2F">
              <w:rPr>
                <w:b/>
              </w:rPr>
              <w:t>Quarter 4</w:t>
            </w:r>
          </w:p>
        </w:tc>
        <w:tc>
          <w:tcPr>
            <w:tcW w:w="12222" w:type="dxa"/>
            <w:gridSpan w:val="3"/>
            <w:tcBorders>
              <w:left w:val="single" w:sz="4" w:space="0" w:color="auto"/>
              <w:right w:val="single" w:sz="18" w:space="0" w:color="auto"/>
            </w:tcBorders>
            <w:vAlign w:val="center"/>
          </w:tcPr>
          <w:p w:rsidR="00AC0856" w:rsidRPr="00A862C1" w:rsidRDefault="00AC0856"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8E7A17" w:rsidRPr="00720C2F" w:rsidRDefault="008E7A17" w:rsidP="002478F1">
            <w:pPr>
              <w:rPr>
                <w:b/>
              </w:rPr>
            </w:pPr>
            <w:r>
              <w:rPr>
                <w:b/>
              </w:rPr>
              <w:t>Analysis Q1</w:t>
            </w:r>
          </w:p>
        </w:tc>
        <w:tc>
          <w:tcPr>
            <w:tcW w:w="12222" w:type="dxa"/>
            <w:gridSpan w:val="3"/>
            <w:tcBorders>
              <w:left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Q2</w:t>
            </w:r>
          </w:p>
        </w:tc>
        <w:tc>
          <w:tcPr>
            <w:tcW w:w="12222" w:type="dxa"/>
            <w:gridSpan w:val="3"/>
            <w:tcBorders>
              <w:left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Q3</w:t>
            </w:r>
          </w:p>
        </w:tc>
        <w:tc>
          <w:tcPr>
            <w:tcW w:w="12222" w:type="dxa"/>
            <w:gridSpan w:val="3"/>
            <w:tcBorders>
              <w:left w:val="single" w:sz="4" w:space="0" w:color="auto"/>
              <w:right w:val="single" w:sz="18" w:space="0" w:color="auto"/>
            </w:tcBorders>
            <w:vAlign w:val="center"/>
          </w:tcPr>
          <w:p w:rsidR="008E7A17" w:rsidRPr="00A862C1" w:rsidRDefault="008E7A17" w:rsidP="002478F1">
            <w:pPr>
              <w:spacing w:line="312" w:lineRule="auto"/>
              <w:rPr>
                <w:sz w:val="18"/>
              </w:rPr>
            </w:pPr>
          </w:p>
        </w:tc>
      </w:tr>
      <w:tr w:rsidR="008E7A17" w:rsidRPr="00A862C1" w:rsidTr="000A421F">
        <w:trPr>
          <w:gridAfter w:val="1"/>
          <w:wAfter w:w="222" w:type="dxa"/>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8E7A17" w:rsidRDefault="008E7A17" w:rsidP="002478F1">
            <w:pPr>
              <w:rPr>
                <w:b/>
              </w:rPr>
            </w:pPr>
            <w:r>
              <w:rPr>
                <w:b/>
              </w:rPr>
              <w:t>Analysis Q4</w:t>
            </w:r>
          </w:p>
        </w:tc>
        <w:tc>
          <w:tcPr>
            <w:tcW w:w="12222" w:type="dxa"/>
            <w:gridSpan w:val="3"/>
            <w:tcBorders>
              <w:left w:val="single" w:sz="4" w:space="0" w:color="auto"/>
              <w:bottom w:val="single" w:sz="4" w:space="0" w:color="auto"/>
              <w:right w:val="single" w:sz="18" w:space="0" w:color="auto"/>
            </w:tcBorders>
            <w:vAlign w:val="center"/>
          </w:tcPr>
          <w:p w:rsidR="008E7A17" w:rsidRPr="00A862C1" w:rsidRDefault="008E7A17" w:rsidP="002478F1">
            <w:pPr>
              <w:spacing w:line="312" w:lineRule="auto"/>
              <w:rPr>
                <w:sz w:val="18"/>
              </w:rPr>
            </w:pPr>
          </w:p>
        </w:tc>
      </w:tr>
    </w:tbl>
    <w:p w:rsidR="00AC0856" w:rsidRDefault="00AC0856"/>
    <w:p w:rsidR="00AC0856" w:rsidRDefault="00AC0856"/>
    <w:p w:rsidR="00AC0856" w:rsidRDefault="00AC0856"/>
    <w:p w:rsidR="00AC0856" w:rsidRDefault="00AC0856"/>
    <w:sectPr w:rsidR="00AC0856" w:rsidSect="005D2E0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86" w:rsidRDefault="00B02586" w:rsidP="00664E29">
      <w:pPr>
        <w:spacing w:after="0" w:line="240" w:lineRule="auto"/>
      </w:pPr>
      <w:r>
        <w:separator/>
      </w:r>
    </w:p>
  </w:endnote>
  <w:endnote w:type="continuationSeparator" w:id="0">
    <w:p w:rsidR="00B02586" w:rsidRDefault="00B02586" w:rsidP="0066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86" w:rsidRDefault="00B02586" w:rsidP="00664E29">
      <w:pPr>
        <w:spacing w:after="0" w:line="240" w:lineRule="auto"/>
      </w:pPr>
      <w:r>
        <w:separator/>
      </w:r>
    </w:p>
  </w:footnote>
  <w:footnote w:type="continuationSeparator" w:id="0">
    <w:p w:rsidR="00B02586" w:rsidRDefault="00B02586" w:rsidP="0066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FC0"/>
    <w:multiLevelType w:val="hybridMultilevel"/>
    <w:tmpl w:val="A59C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E71"/>
    <w:multiLevelType w:val="hybridMultilevel"/>
    <w:tmpl w:val="5AD06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F194F"/>
    <w:multiLevelType w:val="hybridMultilevel"/>
    <w:tmpl w:val="6DA82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1292A"/>
    <w:multiLevelType w:val="hybridMultilevel"/>
    <w:tmpl w:val="C2F23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7473"/>
    <w:multiLevelType w:val="hybridMultilevel"/>
    <w:tmpl w:val="FF3E8EB8"/>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35AEF"/>
    <w:multiLevelType w:val="hybridMultilevel"/>
    <w:tmpl w:val="74A8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F1855"/>
    <w:multiLevelType w:val="hybridMultilevel"/>
    <w:tmpl w:val="3684C7A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F6D22"/>
    <w:multiLevelType w:val="hybridMultilevel"/>
    <w:tmpl w:val="242AB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81FB7"/>
    <w:multiLevelType w:val="hybridMultilevel"/>
    <w:tmpl w:val="AF56F5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035F7"/>
    <w:multiLevelType w:val="hybridMultilevel"/>
    <w:tmpl w:val="2BA2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25D47"/>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DF1DEE"/>
    <w:multiLevelType w:val="hybridMultilevel"/>
    <w:tmpl w:val="F55E9926"/>
    <w:lvl w:ilvl="0" w:tplc="8CCE3BF2">
      <w:numFmt w:val="bullet"/>
      <w:lvlText w:val="-"/>
      <w:lvlJc w:val="left"/>
      <w:pPr>
        <w:ind w:left="360" w:hanging="360"/>
      </w:pPr>
      <w:rPr>
        <w:rFonts w:ascii="Century Gothic" w:eastAsiaTheme="minorHAnsi"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E137E5"/>
    <w:multiLevelType w:val="hybridMultilevel"/>
    <w:tmpl w:val="2586063E"/>
    <w:lvl w:ilvl="0" w:tplc="8CCE3BF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8692E"/>
    <w:multiLevelType w:val="multilevel"/>
    <w:tmpl w:val="BF6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809A1"/>
    <w:multiLevelType w:val="hybridMultilevel"/>
    <w:tmpl w:val="1226998E"/>
    <w:lvl w:ilvl="0" w:tplc="8CCE3BF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D5469"/>
    <w:multiLevelType w:val="hybridMultilevel"/>
    <w:tmpl w:val="050E4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E0959"/>
    <w:multiLevelType w:val="hybridMultilevel"/>
    <w:tmpl w:val="3942E5AC"/>
    <w:lvl w:ilvl="0" w:tplc="E2FC99F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651F4"/>
    <w:multiLevelType w:val="hybridMultilevel"/>
    <w:tmpl w:val="9CEEF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671B5"/>
    <w:multiLevelType w:val="hybridMultilevel"/>
    <w:tmpl w:val="E4D43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16949"/>
    <w:multiLevelType w:val="hybridMultilevel"/>
    <w:tmpl w:val="ABE0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D73EF"/>
    <w:multiLevelType w:val="hybridMultilevel"/>
    <w:tmpl w:val="C3D4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026C"/>
    <w:multiLevelType w:val="hybridMultilevel"/>
    <w:tmpl w:val="2008434C"/>
    <w:lvl w:ilvl="0" w:tplc="8CCE3BF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74D07"/>
    <w:multiLevelType w:val="hybridMultilevel"/>
    <w:tmpl w:val="7B76D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FD3425"/>
    <w:multiLevelType w:val="hybridMultilevel"/>
    <w:tmpl w:val="3702CA5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0349"/>
    <w:multiLevelType w:val="multilevel"/>
    <w:tmpl w:val="4C90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746AA0"/>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AC42013"/>
    <w:multiLevelType w:val="hybridMultilevel"/>
    <w:tmpl w:val="6D70D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27664"/>
    <w:multiLevelType w:val="multilevel"/>
    <w:tmpl w:val="5FFA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D226EA"/>
    <w:multiLevelType w:val="hybridMultilevel"/>
    <w:tmpl w:val="54A6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24036"/>
    <w:multiLevelType w:val="hybridMultilevel"/>
    <w:tmpl w:val="3A2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326C0"/>
    <w:multiLevelType w:val="hybridMultilevel"/>
    <w:tmpl w:val="B45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6"/>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num>
  <w:num w:numId="8">
    <w:abstractNumId w:val="12"/>
  </w:num>
  <w:num w:numId="9">
    <w:abstractNumId w:val="14"/>
  </w:num>
  <w:num w:numId="10">
    <w:abstractNumId w:val="11"/>
  </w:num>
  <w:num w:numId="11">
    <w:abstractNumId w:val="21"/>
  </w:num>
  <w:num w:numId="12">
    <w:abstractNumId w:val="27"/>
  </w:num>
  <w:num w:numId="13">
    <w:abstractNumId w:val="24"/>
  </w:num>
  <w:num w:numId="14">
    <w:abstractNumId w:val="13"/>
  </w:num>
  <w:num w:numId="15">
    <w:abstractNumId w:val="28"/>
  </w:num>
  <w:num w:numId="16">
    <w:abstractNumId w:val="30"/>
  </w:num>
  <w:num w:numId="17">
    <w:abstractNumId w:val="0"/>
  </w:num>
  <w:num w:numId="18">
    <w:abstractNumId w:val="2"/>
  </w:num>
  <w:num w:numId="19">
    <w:abstractNumId w:val="8"/>
  </w:num>
  <w:num w:numId="20">
    <w:abstractNumId w:val="7"/>
  </w:num>
  <w:num w:numId="21">
    <w:abstractNumId w:val="18"/>
  </w:num>
  <w:num w:numId="22">
    <w:abstractNumId w:val="15"/>
  </w:num>
  <w:num w:numId="23">
    <w:abstractNumId w:val="26"/>
  </w:num>
  <w:num w:numId="24">
    <w:abstractNumId w:val="6"/>
  </w:num>
  <w:num w:numId="25">
    <w:abstractNumId w:val="23"/>
  </w:num>
  <w:num w:numId="26">
    <w:abstractNumId w:val="1"/>
  </w:num>
  <w:num w:numId="27">
    <w:abstractNumId w:val="3"/>
  </w:num>
  <w:num w:numId="28">
    <w:abstractNumId w:val="17"/>
  </w:num>
  <w:num w:numId="29">
    <w:abstractNumId w:val="20"/>
  </w:num>
  <w:num w:numId="30">
    <w:abstractNumId w:val="9"/>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E"/>
    <w:rsid w:val="0000033B"/>
    <w:rsid w:val="0000350B"/>
    <w:rsid w:val="00004654"/>
    <w:rsid w:val="000103A9"/>
    <w:rsid w:val="000122F7"/>
    <w:rsid w:val="00013569"/>
    <w:rsid w:val="0001694A"/>
    <w:rsid w:val="00020D11"/>
    <w:rsid w:val="00022907"/>
    <w:rsid w:val="00023D2E"/>
    <w:rsid w:val="000363A8"/>
    <w:rsid w:val="00037014"/>
    <w:rsid w:val="000427D3"/>
    <w:rsid w:val="000431E6"/>
    <w:rsid w:val="00050B3C"/>
    <w:rsid w:val="000751CE"/>
    <w:rsid w:val="000901D6"/>
    <w:rsid w:val="000A0A39"/>
    <w:rsid w:val="000A421F"/>
    <w:rsid w:val="000C7C4B"/>
    <w:rsid w:val="000C7DE3"/>
    <w:rsid w:val="000E2A63"/>
    <w:rsid w:val="000E5CA9"/>
    <w:rsid w:val="0010638D"/>
    <w:rsid w:val="001103D9"/>
    <w:rsid w:val="0011381E"/>
    <w:rsid w:val="00117991"/>
    <w:rsid w:val="00120E68"/>
    <w:rsid w:val="00123694"/>
    <w:rsid w:val="0013591F"/>
    <w:rsid w:val="00141C11"/>
    <w:rsid w:val="001453C2"/>
    <w:rsid w:val="00146052"/>
    <w:rsid w:val="001470B0"/>
    <w:rsid w:val="00155843"/>
    <w:rsid w:val="001575F7"/>
    <w:rsid w:val="001666A3"/>
    <w:rsid w:val="00166B59"/>
    <w:rsid w:val="00174E50"/>
    <w:rsid w:val="001755E1"/>
    <w:rsid w:val="00197B43"/>
    <w:rsid w:val="001A1F48"/>
    <w:rsid w:val="001A63A7"/>
    <w:rsid w:val="001A654F"/>
    <w:rsid w:val="001B4597"/>
    <w:rsid w:val="001C38DB"/>
    <w:rsid w:val="001C6EAF"/>
    <w:rsid w:val="001D49AE"/>
    <w:rsid w:val="001D565F"/>
    <w:rsid w:val="001D675B"/>
    <w:rsid w:val="001E4FC6"/>
    <w:rsid w:val="001F3357"/>
    <w:rsid w:val="0020592B"/>
    <w:rsid w:val="00206315"/>
    <w:rsid w:val="00211EC9"/>
    <w:rsid w:val="00216F16"/>
    <w:rsid w:val="002174E6"/>
    <w:rsid w:val="0022305E"/>
    <w:rsid w:val="0022360B"/>
    <w:rsid w:val="0023105F"/>
    <w:rsid w:val="00233F19"/>
    <w:rsid w:val="00244EEE"/>
    <w:rsid w:val="0024619E"/>
    <w:rsid w:val="00246791"/>
    <w:rsid w:val="00250990"/>
    <w:rsid w:val="0025451F"/>
    <w:rsid w:val="00255B6F"/>
    <w:rsid w:val="00260B03"/>
    <w:rsid w:val="002614B4"/>
    <w:rsid w:val="002622A0"/>
    <w:rsid w:val="00262A19"/>
    <w:rsid w:val="00264A63"/>
    <w:rsid w:val="002769CA"/>
    <w:rsid w:val="00277417"/>
    <w:rsid w:val="00285712"/>
    <w:rsid w:val="00293149"/>
    <w:rsid w:val="002B0A24"/>
    <w:rsid w:val="002B208F"/>
    <w:rsid w:val="002B6DF0"/>
    <w:rsid w:val="002C418C"/>
    <w:rsid w:val="002D2ACF"/>
    <w:rsid w:val="002D45AF"/>
    <w:rsid w:val="002D5C23"/>
    <w:rsid w:val="002F334A"/>
    <w:rsid w:val="002F52E3"/>
    <w:rsid w:val="002F6885"/>
    <w:rsid w:val="002F7C87"/>
    <w:rsid w:val="003056A4"/>
    <w:rsid w:val="00310547"/>
    <w:rsid w:val="00311BD8"/>
    <w:rsid w:val="0032461E"/>
    <w:rsid w:val="003277CF"/>
    <w:rsid w:val="00331E7E"/>
    <w:rsid w:val="0034468B"/>
    <w:rsid w:val="0034538D"/>
    <w:rsid w:val="00351390"/>
    <w:rsid w:val="003543AA"/>
    <w:rsid w:val="00355F7C"/>
    <w:rsid w:val="003668F5"/>
    <w:rsid w:val="003735B5"/>
    <w:rsid w:val="003907E0"/>
    <w:rsid w:val="003A4FC1"/>
    <w:rsid w:val="003C1AE3"/>
    <w:rsid w:val="003D0064"/>
    <w:rsid w:val="003D4C36"/>
    <w:rsid w:val="003D5C67"/>
    <w:rsid w:val="003E283B"/>
    <w:rsid w:val="003F205A"/>
    <w:rsid w:val="003F46B4"/>
    <w:rsid w:val="00410F7C"/>
    <w:rsid w:val="004444FA"/>
    <w:rsid w:val="004454E1"/>
    <w:rsid w:val="00450855"/>
    <w:rsid w:val="004545EA"/>
    <w:rsid w:val="00454976"/>
    <w:rsid w:val="00455AC4"/>
    <w:rsid w:val="00462091"/>
    <w:rsid w:val="004653DC"/>
    <w:rsid w:val="00465F4B"/>
    <w:rsid w:val="00473F2F"/>
    <w:rsid w:val="0047497F"/>
    <w:rsid w:val="00494CE1"/>
    <w:rsid w:val="00495878"/>
    <w:rsid w:val="004B0CB9"/>
    <w:rsid w:val="004E01AD"/>
    <w:rsid w:val="004E0DE5"/>
    <w:rsid w:val="004E1505"/>
    <w:rsid w:val="004E4E05"/>
    <w:rsid w:val="004F4C8F"/>
    <w:rsid w:val="00501FB5"/>
    <w:rsid w:val="00504B41"/>
    <w:rsid w:val="0051305D"/>
    <w:rsid w:val="0051557D"/>
    <w:rsid w:val="00517EE8"/>
    <w:rsid w:val="00521729"/>
    <w:rsid w:val="00522E05"/>
    <w:rsid w:val="005343DB"/>
    <w:rsid w:val="00536F05"/>
    <w:rsid w:val="00554098"/>
    <w:rsid w:val="00565BF7"/>
    <w:rsid w:val="0057408E"/>
    <w:rsid w:val="00581813"/>
    <w:rsid w:val="005820D2"/>
    <w:rsid w:val="00583F20"/>
    <w:rsid w:val="005874EC"/>
    <w:rsid w:val="00594B3E"/>
    <w:rsid w:val="005A5952"/>
    <w:rsid w:val="005A6392"/>
    <w:rsid w:val="005B14EB"/>
    <w:rsid w:val="005C57ED"/>
    <w:rsid w:val="005C7845"/>
    <w:rsid w:val="005D263B"/>
    <w:rsid w:val="005D2E09"/>
    <w:rsid w:val="005D67DD"/>
    <w:rsid w:val="005E7D08"/>
    <w:rsid w:val="005F1E5E"/>
    <w:rsid w:val="005F1F23"/>
    <w:rsid w:val="005F3C76"/>
    <w:rsid w:val="006200DC"/>
    <w:rsid w:val="00632651"/>
    <w:rsid w:val="006472DE"/>
    <w:rsid w:val="006523DB"/>
    <w:rsid w:val="00653365"/>
    <w:rsid w:val="006547A9"/>
    <w:rsid w:val="0065520B"/>
    <w:rsid w:val="00662657"/>
    <w:rsid w:val="00664E29"/>
    <w:rsid w:val="006710CD"/>
    <w:rsid w:val="006721D1"/>
    <w:rsid w:val="00686EF8"/>
    <w:rsid w:val="0069185E"/>
    <w:rsid w:val="00692ABB"/>
    <w:rsid w:val="00692F8E"/>
    <w:rsid w:val="0069574F"/>
    <w:rsid w:val="00697E21"/>
    <w:rsid w:val="006A1B32"/>
    <w:rsid w:val="006B2A1E"/>
    <w:rsid w:val="006D4648"/>
    <w:rsid w:val="006D6C0C"/>
    <w:rsid w:val="006E0A90"/>
    <w:rsid w:val="006F19BA"/>
    <w:rsid w:val="006F1B38"/>
    <w:rsid w:val="00701B27"/>
    <w:rsid w:val="007025DE"/>
    <w:rsid w:val="00705F48"/>
    <w:rsid w:val="007109AB"/>
    <w:rsid w:val="00720C2F"/>
    <w:rsid w:val="00725D06"/>
    <w:rsid w:val="0073706E"/>
    <w:rsid w:val="007406E0"/>
    <w:rsid w:val="00752059"/>
    <w:rsid w:val="00760248"/>
    <w:rsid w:val="0076722B"/>
    <w:rsid w:val="00767D92"/>
    <w:rsid w:val="00775A4B"/>
    <w:rsid w:val="00784D47"/>
    <w:rsid w:val="00796911"/>
    <w:rsid w:val="007A1EDD"/>
    <w:rsid w:val="007B3CFB"/>
    <w:rsid w:val="007C187A"/>
    <w:rsid w:val="007D4CDF"/>
    <w:rsid w:val="007E2C93"/>
    <w:rsid w:val="007F52DD"/>
    <w:rsid w:val="007F6C10"/>
    <w:rsid w:val="00800BAA"/>
    <w:rsid w:val="00802756"/>
    <w:rsid w:val="008051AA"/>
    <w:rsid w:val="00812D96"/>
    <w:rsid w:val="00814ADD"/>
    <w:rsid w:val="00817AE3"/>
    <w:rsid w:val="00830658"/>
    <w:rsid w:val="008341A9"/>
    <w:rsid w:val="00834B8C"/>
    <w:rsid w:val="00837CD6"/>
    <w:rsid w:val="00840F79"/>
    <w:rsid w:val="00851181"/>
    <w:rsid w:val="00851D76"/>
    <w:rsid w:val="00857F1A"/>
    <w:rsid w:val="0086574B"/>
    <w:rsid w:val="00871434"/>
    <w:rsid w:val="0089028D"/>
    <w:rsid w:val="00892652"/>
    <w:rsid w:val="00894AD7"/>
    <w:rsid w:val="008A0A4C"/>
    <w:rsid w:val="008A7B52"/>
    <w:rsid w:val="008A7F2D"/>
    <w:rsid w:val="008C48AB"/>
    <w:rsid w:val="008C5B66"/>
    <w:rsid w:val="008D2C17"/>
    <w:rsid w:val="008D3BE5"/>
    <w:rsid w:val="008E2456"/>
    <w:rsid w:val="008E5067"/>
    <w:rsid w:val="008E54BA"/>
    <w:rsid w:val="008E7A17"/>
    <w:rsid w:val="00901E0B"/>
    <w:rsid w:val="00913564"/>
    <w:rsid w:val="00914845"/>
    <w:rsid w:val="00920D77"/>
    <w:rsid w:val="00924772"/>
    <w:rsid w:val="00930519"/>
    <w:rsid w:val="0093291A"/>
    <w:rsid w:val="00933679"/>
    <w:rsid w:val="00946513"/>
    <w:rsid w:val="00947ED2"/>
    <w:rsid w:val="00952984"/>
    <w:rsid w:val="00954467"/>
    <w:rsid w:val="009560D1"/>
    <w:rsid w:val="00957127"/>
    <w:rsid w:val="0096085B"/>
    <w:rsid w:val="0097046F"/>
    <w:rsid w:val="00975EA1"/>
    <w:rsid w:val="00977E6B"/>
    <w:rsid w:val="0098374F"/>
    <w:rsid w:val="009904A0"/>
    <w:rsid w:val="009A22E5"/>
    <w:rsid w:val="009B3723"/>
    <w:rsid w:val="009C0A5D"/>
    <w:rsid w:val="009E4B40"/>
    <w:rsid w:val="009F04DF"/>
    <w:rsid w:val="00A00E0C"/>
    <w:rsid w:val="00A13DD7"/>
    <w:rsid w:val="00A146B4"/>
    <w:rsid w:val="00A37372"/>
    <w:rsid w:val="00A432EE"/>
    <w:rsid w:val="00A61546"/>
    <w:rsid w:val="00A62EA9"/>
    <w:rsid w:val="00A66FD5"/>
    <w:rsid w:val="00A862C1"/>
    <w:rsid w:val="00A87155"/>
    <w:rsid w:val="00A87E15"/>
    <w:rsid w:val="00A96DA2"/>
    <w:rsid w:val="00AB2F37"/>
    <w:rsid w:val="00AB534E"/>
    <w:rsid w:val="00AC0856"/>
    <w:rsid w:val="00AC304D"/>
    <w:rsid w:val="00AC6B32"/>
    <w:rsid w:val="00B02586"/>
    <w:rsid w:val="00B21453"/>
    <w:rsid w:val="00B24E22"/>
    <w:rsid w:val="00B2708C"/>
    <w:rsid w:val="00B319A4"/>
    <w:rsid w:val="00B427A3"/>
    <w:rsid w:val="00B43EEF"/>
    <w:rsid w:val="00B67A04"/>
    <w:rsid w:val="00B76735"/>
    <w:rsid w:val="00B97A4F"/>
    <w:rsid w:val="00BA7A27"/>
    <w:rsid w:val="00BA7CA2"/>
    <w:rsid w:val="00BB5260"/>
    <w:rsid w:val="00BD5513"/>
    <w:rsid w:val="00BF5E29"/>
    <w:rsid w:val="00C033C1"/>
    <w:rsid w:val="00C06236"/>
    <w:rsid w:val="00C06699"/>
    <w:rsid w:val="00C2569F"/>
    <w:rsid w:val="00C2699B"/>
    <w:rsid w:val="00C33F2C"/>
    <w:rsid w:val="00C340C7"/>
    <w:rsid w:val="00C4686D"/>
    <w:rsid w:val="00C46FC5"/>
    <w:rsid w:val="00C76C28"/>
    <w:rsid w:val="00C84B19"/>
    <w:rsid w:val="00C8752C"/>
    <w:rsid w:val="00C87FC1"/>
    <w:rsid w:val="00C95608"/>
    <w:rsid w:val="00C97EDB"/>
    <w:rsid w:val="00CA405C"/>
    <w:rsid w:val="00CA5F9D"/>
    <w:rsid w:val="00CB2C5D"/>
    <w:rsid w:val="00CB60D8"/>
    <w:rsid w:val="00CB619A"/>
    <w:rsid w:val="00CD56A7"/>
    <w:rsid w:val="00CE522D"/>
    <w:rsid w:val="00CE68AD"/>
    <w:rsid w:val="00CF2550"/>
    <w:rsid w:val="00D00248"/>
    <w:rsid w:val="00D0200E"/>
    <w:rsid w:val="00D04A51"/>
    <w:rsid w:val="00D051D1"/>
    <w:rsid w:val="00D06F93"/>
    <w:rsid w:val="00D242FF"/>
    <w:rsid w:val="00D27FB1"/>
    <w:rsid w:val="00D37930"/>
    <w:rsid w:val="00D4003F"/>
    <w:rsid w:val="00D435A6"/>
    <w:rsid w:val="00D43D47"/>
    <w:rsid w:val="00D44F0E"/>
    <w:rsid w:val="00D51DB7"/>
    <w:rsid w:val="00D73909"/>
    <w:rsid w:val="00D762DF"/>
    <w:rsid w:val="00D85596"/>
    <w:rsid w:val="00D85D52"/>
    <w:rsid w:val="00D9123A"/>
    <w:rsid w:val="00D9345E"/>
    <w:rsid w:val="00D94700"/>
    <w:rsid w:val="00DC465F"/>
    <w:rsid w:val="00DD00A5"/>
    <w:rsid w:val="00DD5453"/>
    <w:rsid w:val="00DD7131"/>
    <w:rsid w:val="00DE49C6"/>
    <w:rsid w:val="00DE7059"/>
    <w:rsid w:val="00DF34EE"/>
    <w:rsid w:val="00E020F1"/>
    <w:rsid w:val="00E13BEE"/>
    <w:rsid w:val="00E176F7"/>
    <w:rsid w:val="00E250F1"/>
    <w:rsid w:val="00E309E9"/>
    <w:rsid w:val="00E47DD9"/>
    <w:rsid w:val="00E61338"/>
    <w:rsid w:val="00E634D2"/>
    <w:rsid w:val="00E63ABE"/>
    <w:rsid w:val="00E64E0F"/>
    <w:rsid w:val="00E837B6"/>
    <w:rsid w:val="00E850B9"/>
    <w:rsid w:val="00E935DF"/>
    <w:rsid w:val="00E97868"/>
    <w:rsid w:val="00EA6C8B"/>
    <w:rsid w:val="00EA73C8"/>
    <w:rsid w:val="00EB2600"/>
    <w:rsid w:val="00EB630A"/>
    <w:rsid w:val="00EC5F48"/>
    <w:rsid w:val="00EC67FF"/>
    <w:rsid w:val="00EC7D79"/>
    <w:rsid w:val="00ED04A6"/>
    <w:rsid w:val="00ED288B"/>
    <w:rsid w:val="00ED496B"/>
    <w:rsid w:val="00EE3A55"/>
    <w:rsid w:val="00EE636D"/>
    <w:rsid w:val="00F00BDE"/>
    <w:rsid w:val="00F02C3C"/>
    <w:rsid w:val="00F05508"/>
    <w:rsid w:val="00F058A6"/>
    <w:rsid w:val="00F30578"/>
    <w:rsid w:val="00F356A8"/>
    <w:rsid w:val="00F42E04"/>
    <w:rsid w:val="00F4717D"/>
    <w:rsid w:val="00F5486B"/>
    <w:rsid w:val="00F57C42"/>
    <w:rsid w:val="00F63A00"/>
    <w:rsid w:val="00F7620B"/>
    <w:rsid w:val="00F81569"/>
    <w:rsid w:val="00F8738D"/>
    <w:rsid w:val="00F94AB8"/>
    <w:rsid w:val="00FA184C"/>
    <w:rsid w:val="00FA6ACC"/>
    <w:rsid w:val="00FA6C2F"/>
    <w:rsid w:val="00FB20FC"/>
    <w:rsid w:val="00FB566B"/>
    <w:rsid w:val="00FD6460"/>
    <w:rsid w:val="00FE33DD"/>
    <w:rsid w:val="00FE763B"/>
    <w:rsid w:val="00FF1D94"/>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C9081-EDE4-4B23-87E6-8BFCB2E7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9E"/>
    <w:rPr>
      <w:rFonts w:ascii="Tahoma" w:hAnsi="Tahoma" w:cs="Tahoma"/>
      <w:sz w:val="16"/>
      <w:szCs w:val="16"/>
    </w:rPr>
  </w:style>
  <w:style w:type="paragraph" w:styleId="ListParagraph">
    <w:name w:val="List Paragraph"/>
    <w:basedOn w:val="Normal"/>
    <w:uiPriority w:val="34"/>
    <w:qFormat/>
    <w:rsid w:val="002614B4"/>
    <w:pPr>
      <w:ind w:left="720"/>
      <w:contextualSpacing/>
    </w:pPr>
  </w:style>
  <w:style w:type="paragraph" w:styleId="Header">
    <w:name w:val="header"/>
    <w:basedOn w:val="Normal"/>
    <w:link w:val="HeaderChar"/>
    <w:uiPriority w:val="99"/>
    <w:unhideWhenUsed/>
    <w:rsid w:val="0066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29"/>
  </w:style>
  <w:style w:type="paragraph" w:styleId="Footer">
    <w:name w:val="footer"/>
    <w:basedOn w:val="Normal"/>
    <w:link w:val="FooterChar"/>
    <w:uiPriority w:val="99"/>
    <w:unhideWhenUsed/>
    <w:rsid w:val="0066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29"/>
  </w:style>
  <w:style w:type="character" w:customStyle="1" w:styleId="Heading1Char">
    <w:name w:val="Heading 1 Char"/>
    <w:basedOn w:val="DefaultParagraphFont"/>
    <w:link w:val="Heading1"/>
    <w:uiPriority w:val="9"/>
    <w:rsid w:val="00686E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3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2091"/>
    <w:rPr>
      <w:color w:val="0000FF"/>
      <w:u w:val="single"/>
    </w:rPr>
  </w:style>
  <w:style w:type="paragraph" w:styleId="Quote">
    <w:name w:val="Quote"/>
    <w:basedOn w:val="Normal"/>
    <w:next w:val="Normal"/>
    <w:link w:val="QuoteChar"/>
    <w:uiPriority w:val="29"/>
    <w:qFormat/>
    <w:rsid w:val="003735B5"/>
    <w:rPr>
      <w:rFonts w:eastAsiaTheme="minorEastAsia"/>
      <w:i/>
      <w:iCs/>
      <w:color w:val="000000" w:themeColor="text1"/>
      <w:lang w:eastAsia="ja-JP"/>
    </w:rPr>
  </w:style>
  <w:style w:type="character" w:customStyle="1" w:styleId="QuoteChar">
    <w:name w:val="Quote Char"/>
    <w:basedOn w:val="DefaultParagraphFont"/>
    <w:link w:val="Quote"/>
    <w:uiPriority w:val="29"/>
    <w:rsid w:val="003735B5"/>
    <w:rPr>
      <w:rFonts w:eastAsiaTheme="minorEastAsia"/>
      <w:i/>
      <w:iCs/>
      <w:color w:val="000000" w:themeColor="text1"/>
      <w:lang w:eastAsia="ja-JP"/>
    </w:rPr>
  </w:style>
  <w:style w:type="paragraph" w:styleId="NoSpacing">
    <w:name w:val="No Spacing"/>
    <w:uiPriority w:val="1"/>
    <w:qFormat/>
    <w:rsid w:val="00037014"/>
    <w:pPr>
      <w:spacing w:after="0" w:line="240" w:lineRule="auto"/>
    </w:pPr>
  </w:style>
  <w:style w:type="paragraph" w:styleId="NormalWeb">
    <w:name w:val="Normal (Web)"/>
    <w:basedOn w:val="Normal"/>
    <w:uiPriority w:val="99"/>
    <w:unhideWhenUsed/>
    <w:rsid w:val="00800B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208">
      <w:bodyDiv w:val="1"/>
      <w:marLeft w:val="0"/>
      <w:marRight w:val="0"/>
      <w:marTop w:val="0"/>
      <w:marBottom w:val="0"/>
      <w:divBdr>
        <w:top w:val="none" w:sz="0" w:space="0" w:color="auto"/>
        <w:left w:val="none" w:sz="0" w:space="0" w:color="auto"/>
        <w:bottom w:val="none" w:sz="0" w:space="0" w:color="auto"/>
        <w:right w:val="none" w:sz="0" w:space="0" w:color="auto"/>
      </w:divBdr>
    </w:div>
    <w:div w:id="530143647">
      <w:bodyDiv w:val="1"/>
      <w:marLeft w:val="0"/>
      <w:marRight w:val="0"/>
      <w:marTop w:val="0"/>
      <w:marBottom w:val="0"/>
      <w:divBdr>
        <w:top w:val="none" w:sz="0" w:space="0" w:color="auto"/>
        <w:left w:val="none" w:sz="0" w:space="0" w:color="auto"/>
        <w:bottom w:val="none" w:sz="0" w:space="0" w:color="auto"/>
        <w:right w:val="none" w:sz="0" w:space="0" w:color="auto"/>
      </w:divBdr>
    </w:div>
    <w:div w:id="1233076194">
      <w:bodyDiv w:val="1"/>
      <w:marLeft w:val="0"/>
      <w:marRight w:val="0"/>
      <w:marTop w:val="0"/>
      <w:marBottom w:val="0"/>
      <w:divBdr>
        <w:top w:val="none" w:sz="0" w:space="0" w:color="auto"/>
        <w:left w:val="none" w:sz="0" w:space="0" w:color="auto"/>
        <w:bottom w:val="none" w:sz="0" w:space="0" w:color="auto"/>
        <w:right w:val="none" w:sz="0" w:space="0" w:color="auto"/>
      </w:divBdr>
    </w:div>
    <w:div w:id="1570070008">
      <w:bodyDiv w:val="1"/>
      <w:marLeft w:val="0"/>
      <w:marRight w:val="0"/>
      <w:marTop w:val="0"/>
      <w:marBottom w:val="0"/>
      <w:divBdr>
        <w:top w:val="none" w:sz="0" w:space="0" w:color="auto"/>
        <w:left w:val="none" w:sz="0" w:space="0" w:color="auto"/>
        <w:bottom w:val="none" w:sz="0" w:space="0" w:color="auto"/>
        <w:right w:val="none" w:sz="0" w:space="0" w:color="auto"/>
      </w:divBdr>
    </w:div>
    <w:div w:id="1743675376">
      <w:bodyDiv w:val="1"/>
      <w:marLeft w:val="0"/>
      <w:marRight w:val="0"/>
      <w:marTop w:val="0"/>
      <w:marBottom w:val="0"/>
      <w:divBdr>
        <w:top w:val="none" w:sz="0" w:space="0" w:color="auto"/>
        <w:left w:val="none" w:sz="0" w:space="0" w:color="auto"/>
        <w:bottom w:val="none" w:sz="0" w:space="0" w:color="auto"/>
        <w:right w:val="none" w:sz="0" w:space="0" w:color="auto"/>
      </w:divBdr>
    </w:div>
    <w:div w:id="20371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3dualcredi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c3dualcredi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38651D2CF7846B8BF2449A2EB9457" ma:contentTypeVersion="15" ma:contentTypeDescription="Create a new document." ma:contentTypeScope="" ma:versionID="bbf4c83bb709384d9df95d493a81eb44">
  <xsd:schema xmlns:xsd="http://www.w3.org/2001/XMLSchema" xmlns:xs="http://www.w3.org/2001/XMLSchema" xmlns:p="http://schemas.microsoft.com/office/2006/metadata/properties" xmlns:ns1="http://schemas.microsoft.com/sharepoint/v3" xmlns:ns3="23080891-239a-4c75-9a99-c1df416be47a" xmlns:ns4="6a716c94-f9a2-44be-aa36-0433ba69ef27" targetNamespace="http://schemas.microsoft.com/office/2006/metadata/properties" ma:root="true" ma:fieldsID="8bd42de5caa71fb46d63e6d40883b598" ns1:_="" ns3:_="" ns4:_="">
    <xsd:import namespace="http://schemas.microsoft.com/sharepoint/v3"/>
    <xsd:import namespace="23080891-239a-4c75-9a99-c1df416be47a"/>
    <xsd:import namespace="6a716c94-f9a2-44be-aa36-0433ba69ef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80891-239a-4c75-9a99-c1df416be4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6c94-f9a2-44be-aa36-0433ba69ef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6302-1E5E-42D8-9556-8BB0A6AB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80891-239a-4c75-9a99-c1df416be47a"/>
    <ds:schemaRef ds:uri="6a716c94-f9a2-44be-aa36-0433ba69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5984A-76D7-4B90-A9C3-FD3AC90C68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037401-0165-44D3-8BB3-A7D6198E1231}">
  <ds:schemaRefs>
    <ds:schemaRef ds:uri="http://schemas.microsoft.com/sharepoint/v3/contenttype/forms"/>
  </ds:schemaRefs>
</ds:datastoreItem>
</file>

<file path=customXml/itemProps4.xml><?xml version="1.0" encoding="utf-8"?>
<ds:datastoreItem xmlns:ds="http://schemas.openxmlformats.org/officeDocument/2006/customXml" ds:itemID="{1D99FAE1-376D-47EE-8204-CB0307C1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Mahoney;Ceana M Pacheco</dc:creator>
  <cp:lastModifiedBy>Linda Crerar</cp:lastModifiedBy>
  <cp:revision>2</cp:revision>
  <cp:lastPrinted>2022-06-21T20:54:00Z</cp:lastPrinted>
  <dcterms:created xsi:type="dcterms:W3CDTF">2022-06-21T22:01:00Z</dcterms:created>
  <dcterms:modified xsi:type="dcterms:W3CDTF">2022-06-21T22:01:00Z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0x010100F6A38651D2CF7846B8BF2449A2EB9457</vt:lpwstr>
  </property>
</Properties>
</file>